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64B5A" w14:textId="77777777" w:rsidR="00FC14EB" w:rsidRDefault="00FC14EB" w:rsidP="00474413">
      <w:pPr>
        <w:rPr>
          <w:b/>
          <w:bCs/>
          <w:sz w:val="48"/>
          <w:szCs w:val="48"/>
          <w:lang w:val="en-US"/>
        </w:rPr>
      </w:pPr>
    </w:p>
    <w:p w14:paraId="2F08606F" w14:textId="3A4E4BFF" w:rsidR="00EA7EBC" w:rsidRDefault="00882CE3" w:rsidP="00474413">
      <w:pPr>
        <w:rPr>
          <w:b/>
          <w:bCs/>
          <w:sz w:val="48"/>
          <w:szCs w:val="48"/>
          <w:lang w:val="en-US"/>
        </w:rPr>
      </w:pPr>
      <w:r w:rsidRPr="00474413">
        <w:rPr>
          <w:b/>
          <w:bCs/>
          <w:sz w:val="48"/>
          <w:szCs w:val="48"/>
          <w:lang w:val="en-US"/>
        </w:rPr>
        <w:t>UK Gender Pay Report 202</w:t>
      </w:r>
      <w:r w:rsidR="00EB1762">
        <w:rPr>
          <w:b/>
          <w:bCs/>
          <w:sz w:val="48"/>
          <w:szCs w:val="48"/>
          <w:lang w:val="en-US"/>
        </w:rPr>
        <w:t>5</w:t>
      </w:r>
    </w:p>
    <w:p w14:paraId="66C00DEC" w14:textId="77777777" w:rsidR="00474413" w:rsidRPr="00474413" w:rsidRDefault="00474413" w:rsidP="00474413">
      <w:pPr>
        <w:rPr>
          <w:b/>
          <w:bCs/>
          <w:sz w:val="20"/>
          <w:szCs w:val="20"/>
          <w:lang w:val="en-US"/>
        </w:rPr>
      </w:pPr>
    </w:p>
    <w:sdt>
      <w:sdtPr>
        <w:rPr>
          <w:rFonts w:ascii="Arial" w:eastAsiaTheme="minorHAnsi" w:hAnsi="Arial" w:cstheme="minorBidi"/>
          <w:color w:val="auto"/>
          <w:kern w:val="2"/>
          <w:sz w:val="24"/>
          <w:szCs w:val="22"/>
          <w:lang w:eastAsia="en-US"/>
          <w14:ligatures w14:val="standardContextual"/>
        </w:rPr>
        <w:id w:val="785314021"/>
        <w:docPartObj>
          <w:docPartGallery w:val="Table of Contents"/>
          <w:docPartUnique/>
        </w:docPartObj>
      </w:sdtPr>
      <w:sdtEndPr>
        <w:rPr>
          <w:b/>
          <w:bCs/>
        </w:rPr>
      </w:sdtEndPr>
      <w:sdtContent>
        <w:p w14:paraId="7AE18FBB" w14:textId="302BB264" w:rsidR="00C4435A" w:rsidRPr="00474413" w:rsidRDefault="00C4435A" w:rsidP="00474413">
          <w:pPr>
            <w:pStyle w:val="TOCHeading"/>
            <w:spacing w:before="0" w:line="240" w:lineRule="auto"/>
            <w:rPr>
              <w:rFonts w:ascii="Arial" w:hAnsi="Arial" w:cs="Arial"/>
              <w:b/>
              <w:bCs/>
              <w:color w:val="auto"/>
              <w:sz w:val="24"/>
            </w:rPr>
          </w:pPr>
          <w:r w:rsidRPr="00474413">
            <w:rPr>
              <w:rFonts w:ascii="Arial" w:hAnsi="Arial" w:cs="Arial"/>
              <w:b/>
              <w:bCs/>
              <w:color w:val="auto"/>
              <w:sz w:val="24"/>
            </w:rPr>
            <w:t>Contents</w:t>
          </w:r>
        </w:p>
        <w:p w14:paraId="65416CB2" w14:textId="69EB3818" w:rsidR="00FC14EB" w:rsidRDefault="00C4435A">
          <w:pPr>
            <w:pStyle w:val="TOC2"/>
            <w:tabs>
              <w:tab w:val="right" w:leader="dot" w:pos="9628"/>
            </w:tabs>
            <w:rPr>
              <w:rFonts w:asciiTheme="minorHAnsi" w:eastAsiaTheme="minorEastAsia" w:hAnsiTheme="minorHAnsi"/>
              <w:noProof/>
              <w:szCs w:val="24"/>
              <w:lang w:eastAsia="en-GB"/>
            </w:rPr>
          </w:pPr>
          <w:r w:rsidRPr="00474413">
            <w:fldChar w:fldCharType="begin"/>
          </w:r>
          <w:r w:rsidRPr="00474413">
            <w:instrText xml:space="preserve"> TOC \o "1-3" \h \z \u </w:instrText>
          </w:r>
          <w:r w:rsidRPr="00474413">
            <w:fldChar w:fldCharType="separate"/>
          </w:r>
          <w:hyperlink w:anchor="_Toc222745648" w:history="1">
            <w:r w:rsidR="00FC14EB" w:rsidRPr="002177A6">
              <w:rPr>
                <w:rStyle w:val="Hyperlink"/>
                <w:noProof/>
              </w:rPr>
              <w:t>2025 Gender Pay Report</w:t>
            </w:r>
            <w:r w:rsidR="00FC14EB">
              <w:rPr>
                <w:noProof/>
                <w:webHidden/>
              </w:rPr>
              <w:tab/>
            </w:r>
            <w:r w:rsidR="00FC14EB">
              <w:rPr>
                <w:noProof/>
                <w:webHidden/>
              </w:rPr>
              <w:fldChar w:fldCharType="begin"/>
            </w:r>
            <w:r w:rsidR="00FC14EB">
              <w:rPr>
                <w:noProof/>
                <w:webHidden/>
              </w:rPr>
              <w:instrText xml:space="preserve"> PAGEREF _Toc222745648 \h </w:instrText>
            </w:r>
            <w:r w:rsidR="00FC14EB">
              <w:rPr>
                <w:noProof/>
                <w:webHidden/>
              </w:rPr>
            </w:r>
            <w:r w:rsidR="00FC14EB">
              <w:rPr>
                <w:noProof/>
                <w:webHidden/>
              </w:rPr>
              <w:fldChar w:fldCharType="separate"/>
            </w:r>
            <w:r w:rsidR="00FC14EB">
              <w:rPr>
                <w:noProof/>
                <w:webHidden/>
              </w:rPr>
              <w:t>1</w:t>
            </w:r>
            <w:r w:rsidR="00FC14EB">
              <w:rPr>
                <w:noProof/>
                <w:webHidden/>
              </w:rPr>
              <w:fldChar w:fldCharType="end"/>
            </w:r>
          </w:hyperlink>
        </w:p>
        <w:p w14:paraId="19F3CD85" w14:textId="00B76072" w:rsidR="00FC14EB" w:rsidRDefault="00FC14EB">
          <w:pPr>
            <w:pStyle w:val="TOC3"/>
            <w:tabs>
              <w:tab w:val="right" w:leader="dot" w:pos="9628"/>
            </w:tabs>
            <w:rPr>
              <w:rFonts w:asciiTheme="minorHAnsi" w:eastAsiaTheme="minorEastAsia" w:hAnsiTheme="minorHAnsi"/>
              <w:noProof/>
              <w:szCs w:val="24"/>
              <w:lang w:eastAsia="en-GB"/>
            </w:rPr>
          </w:pPr>
          <w:hyperlink w:anchor="_Toc222745649" w:history="1">
            <w:r w:rsidRPr="002177A6">
              <w:rPr>
                <w:rStyle w:val="Hyperlink"/>
                <w:bCs/>
                <w:noProof/>
              </w:rPr>
              <w:t>Definitions in respect of gender pay and bonus gaps</w:t>
            </w:r>
            <w:r>
              <w:rPr>
                <w:noProof/>
                <w:webHidden/>
              </w:rPr>
              <w:tab/>
            </w:r>
            <w:r>
              <w:rPr>
                <w:noProof/>
                <w:webHidden/>
              </w:rPr>
              <w:fldChar w:fldCharType="begin"/>
            </w:r>
            <w:r>
              <w:rPr>
                <w:noProof/>
                <w:webHidden/>
              </w:rPr>
              <w:instrText xml:space="preserve"> PAGEREF _Toc222745649 \h </w:instrText>
            </w:r>
            <w:r>
              <w:rPr>
                <w:noProof/>
                <w:webHidden/>
              </w:rPr>
            </w:r>
            <w:r>
              <w:rPr>
                <w:noProof/>
                <w:webHidden/>
              </w:rPr>
              <w:fldChar w:fldCharType="separate"/>
            </w:r>
            <w:r>
              <w:rPr>
                <w:noProof/>
                <w:webHidden/>
              </w:rPr>
              <w:t>2</w:t>
            </w:r>
            <w:r>
              <w:rPr>
                <w:noProof/>
                <w:webHidden/>
              </w:rPr>
              <w:fldChar w:fldCharType="end"/>
            </w:r>
          </w:hyperlink>
        </w:p>
        <w:p w14:paraId="39202D86" w14:textId="71B08E54" w:rsidR="00FC14EB" w:rsidRDefault="00FC14EB">
          <w:pPr>
            <w:pStyle w:val="TOC2"/>
            <w:tabs>
              <w:tab w:val="right" w:leader="dot" w:pos="9628"/>
            </w:tabs>
            <w:rPr>
              <w:rFonts w:asciiTheme="minorHAnsi" w:eastAsiaTheme="minorEastAsia" w:hAnsiTheme="minorHAnsi"/>
              <w:noProof/>
              <w:szCs w:val="24"/>
              <w:lang w:eastAsia="en-GB"/>
            </w:rPr>
          </w:pPr>
          <w:hyperlink w:anchor="_Toc222745650" w:history="1">
            <w:r w:rsidRPr="002177A6">
              <w:rPr>
                <w:rStyle w:val="Hyperlink"/>
                <w:noProof/>
              </w:rPr>
              <w:t>Differences in gender pay between men and women in 2025</w:t>
            </w:r>
            <w:r>
              <w:rPr>
                <w:noProof/>
                <w:webHidden/>
              </w:rPr>
              <w:tab/>
            </w:r>
            <w:r>
              <w:rPr>
                <w:noProof/>
                <w:webHidden/>
              </w:rPr>
              <w:fldChar w:fldCharType="begin"/>
            </w:r>
            <w:r>
              <w:rPr>
                <w:noProof/>
                <w:webHidden/>
              </w:rPr>
              <w:instrText xml:space="preserve"> PAGEREF _Toc222745650 \h </w:instrText>
            </w:r>
            <w:r>
              <w:rPr>
                <w:noProof/>
                <w:webHidden/>
              </w:rPr>
            </w:r>
            <w:r>
              <w:rPr>
                <w:noProof/>
                <w:webHidden/>
              </w:rPr>
              <w:fldChar w:fldCharType="separate"/>
            </w:r>
            <w:r>
              <w:rPr>
                <w:noProof/>
                <w:webHidden/>
              </w:rPr>
              <w:t>2</w:t>
            </w:r>
            <w:r>
              <w:rPr>
                <w:noProof/>
                <w:webHidden/>
              </w:rPr>
              <w:fldChar w:fldCharType="end"/>
            </w:r>
          </w:hyperlink>
        </w:p>
        <w:p w14:paraId="227F4F17" w14:textId="4B0714E7" w:rsidR="00FC14EB" w:rsidRDefault="00FC14EB">
          <w:pPr>
            <w:pStyle w:val="TOC3"/>
            <w:tabs>
              <w:tab w:val="right" w:leader="dot" w:pos="9628"/>
            </w:tabs>
            <w:rPr>
              <w:rFonts w:asciiTheme="minorHAnsi" w:eastAsiaTheme="minorEastAsia" w:hAnsiTheme="minorHAnsi"/>
              <w:noProof/>
              <w:szCs w:val="24"/>
              <w:lang w:eastAsia="en-GB"/>
            </w:rPr>
          </w:pPr>
          <w:hyperlink w:anchor="_Toc222745651" w:history="1">
            <w:r w:rsidRPr="002177A6">
              <w:rPr>
                <w:rStyle w:val="Hyperlink"/>
                <w:noProof/>
              </w:rPr>
              <w:t>Gender profile</w:t>
            </w:r>
            <w:r>
              <w:rPr>
                <w:noProof/>
                <w:webHidden/>
              </w:rPr>
              <w:tab/>
            </w:r>
            <w:r>
              <w:rPr>
                <w:noProof/>
                <w:webHidden/>
              </w:rPr>
              <w:fldChar w:fldCharType="begin"/>
            </w:r>
            <w:r>
              <w:rPr>
                <w:noProof/>
                <w:webHidden/>
              </w:rPr>
              <w:instrText xml:space="preserve"> PAGEREF _Toc222745651 \h </w:instrText>
            </w:r>
            <w:r>
              <w:rPr>
                <w:noProof/>
                <w:webHidden/>
              </w:rPr>
            </w:r>
            <w:r>
              <w:rPr>
                <w:noProof/>
                <w:webHidden/>
              </w:rPr>
              <w:fldChar w:fldCharType="separate"/>
            </w:r>
            <w:r>
              <w:rPr>
                <w:noProof/>
                <w:webHidden/>
              </w:rPr>
              <w:t>2</w:t>
            </w:r>
            <w:r>
              <w:rPr>
                <w:noProof/>
                <w:webHidden/>
              </w:rPr>
              <w:fldChar w:fldCharType="end"/>
            </w:r>
          </w:hyperlink>
        </w:p>
        <w:p w14:paraId="0909DDEE" w14:textId="17A69928" w:rsidR="00FC14EB" w:rsidRDefault="00FC14EB">
          <w:pPr>
            <w:pStyle w:val="TOC2"/>
            <w:tabs>
              <w:tab w:val="right" w:leader="dot" w:pos="9628"/>
            </w:tabs>
            <w:rPr>
              <w:rFonts w:asciiTheme="minorHAnsi" w:eastAsiaTheme="minorEastAsia" w:hAnsiTheme="minorHAnsi"/>
              <w:noProof/>
              <w:szCs w:val="24"/>
              <w:lang w:eastAsia="en-GB"/>
            </w:rPr>
          </w:pPr>
          <w:hyperlink w:anchor="_Toc222745652" w:history="1">
            <w:r w:rsidRPr="002177A6">
              <w:rPr>
                <w:rStyle w:val="Hyperlink"/>
                <w:noProof/>
              </w:rPr>
              <w:t>Gender Pay Gap – Hourly Pay as at 5 April 2025</w:t>
            </w:r>
            <w:r>
              <w:rPr>
                <w:noProof/>
                <w:webHidden/>
              </w:rPr>
              <w:tab/>
            </w:r>
            <w:r>
              <w:rPr>
                <w:noProof/>
                <w:webHidden/>
              </w:rPr>
              <w:fldChar w:fldCharType="begin"/>
            </w:r>
            <w:r>
              <w:rPr>
                <w:noProof/>
                <w:webHidden/>
              </w:rPr>
              <w:instrText xml:space="preserve"> PAGEREF _Toc222745652 \h </w:instrText>
            </w:r>
            <w:r>
              <w:rPr>
                <w:noProof/>
                <w:webHidden/>
              </w:rPr>
            </w:r>
            <w:r>
              <w:rPr>
                <w:noProof/>
                <w:webHidden/>
              </w:rPr>
              <w:fldChar w:fldCharType="separate"/>
            </w:r>
            <w:r>
              <w:rPr>
                <w:noProof/>
                <w:webHidden/>
              </w:rPr>
              <w:t>3</w:t>
            </w:r>
            <w:r>
              <w:rPr>
                <w:noProof/>
                <w:webHidden/>
              </w:rPr>
              <w:fldChar w:fldCharType="end"/>
            </w:r>
          </w:hyperlink>
        </w:p>
        <w:p w14:paraId="5A93AC41" w14:textId="714E6F24" w:rsidR="00FC14EB" w:rsidRDefault="00FC14EB">
          <w:pPr>
            <w:pStyle w:val="TOC3"/>
            <w:tabs>
              <w:tab w:val="right" w:leader="dot" w:pos="9628"/>
            </w:tabs>
            <w:rPr>
              <w:rFonts w:asciiTheme="minorHAnsi" w:eastAsiaTheme="minorEastAsia" w:hAnsiTheme="minorHAnsi"/>
              <w:noProof/>
              <w:szCs w:val="24"/>
              <w:lang w:eastAsia="en-GB"/>
            </w:rPr>
          </w:pPr>
          <w:hyperlink w:anchor="_Toc222745653" w:history="1">
            <w:r w:rsidRPr="002177A6">
              <w:rPr>
                <w:rStyle w:val="Hyperlink"/>
                <w:noProof/>
              </w:rPr>
              <w:t>Table 2: Overall mean and median gender pay gap as at April 2025</w:t>
            </w:r>
            <w:r>
              <w:rPr>
                <w:noProof/>
                <w:webHidden/>
              </w:rPr>
              <w:tab/>
            </w:r>
            <w:r>
              <w:rPr>
                <w:noProof/>
                <w:webHidden/>
              </w:rPr>
              <w:fldChar w:fldCharType="begin"/>
            </w:r>
            <w:r>
              <w:rPr>
                <w:noProof/>
                <w:webHidden/>
              </w:rPr>
              <w:instrText xml:space="preserve"> PAGEREF _Toc222745653 \h </w:instrText>
            </w:r>
            <w:r>
              <w:rPr>
                <w:noProof/>
                <w:webHidden/>
              </w:rPr>
            </w:r>
            <w:r>
              <w:rPr>
                <w:noProof/>
                <w:webHidden/>
              </w:rPr>
              <w:fldChar w:fldCharType="separate"/>
            </w:r>
            <w:r>
              <w:rPr>
                <w:noProof/>
                <w:webHidden/>
              </w:rPr>
              <w:t>3</w:t>
            </w:r>
            <w:r>
              <w:rPr>
                <w:noProof/>
                <w:webHidden/>
              </w:rPr>
              <w:fldChar w:fldCharType="end"/>
            </w:r>
          </w:hyperlink>
        </w:p>
        <w:p w14:paraId="6E442DAD" w14:textId="5C5AA7BF" w:rsidR="00FC14EB" w:rsidRDefault="00FC14EB">
          <w:pPr>
            <w:pStyle w:val="TOC3"/>
            <w:tabs>
              <w:tab w:val="right" w:leader="dot" w:pos="9628"/>
            </w:tabs>
            <w:rPr>
              <w:rFonts w:asciiTheme="minorHAnsi" w:eastAsiaTheme="minorEastAsia" w:hAnsiTheme="minorHAnsi"/>
              <w:noProof/>
              <w:szCs w:val="24"/>
              <w:lang w:eastAsia="en-GB"/>
            </w:rPr>
          </w:pPr>
          <w:hyperlink w:anchor="_Toc222745654" w:history="1">
            <w:r w:rsidRPr="002177A6">
              <w:rPr>
                <w:rStyle w:val="Hyperlink"/>
                <w:noProof/>
              </w:rPr>
              <w:t>Table 3: Median and average pay gap by quartile as at April 2025</w:t>
            </w:r>
            <w:r>
              <w:rPr>
                <w:noProof/>
                <w:webHidden/>
              </w:rPr>
              <w:tab/>
            </w:r>
            <w:r>
              <w:rPr>
                <w:noProof/>
                <w:webHidden/>
              </w:rPr>
              <w:fldChar w:fldCharType="begin"/>
            </w:r>
            <w:r>
              <w:rPr>
                <w:noProof/>
                <w:webHidden/>
              </w:rPr>
              <w:instrText xml:space="preserve"> PAGEREF _Toc222745654 \h </w:instrText>
            </w:r>
            <w:r>
              <w:rPr>
                <w:noProof/>
                <w:webHidden/>
              </w:rPr>
            </w:r>
            <w:r>
              <w:rPr>
                <w:noProof/>
                <w:webHidden/>
              </w:rPr>
              <w:fldChar w:fldCharType="separate"/>
            </w:r>
            <w:r>
              <w:rPr>
                <w:noProof/>
                <w:webHidden/>
              </w:rPr>
              <w:t>3</w:t>
            </w:r>
            <w:r>
              <w:rPr>
                <w:noProof/>
                <w:webHidden/>
              </w:rPr>
              <w:fldChar w:fldCharType="end"/>
            </w:r>
          </w:hyperlink>
        </w:p>
        <w:p w14:paraId="48992D8C" w14:textId="2AFEF1F5" w:rsidR="00FC14EB" w:rsidRDefault="00FC14EB">
          <w:pPr>
            <w:pStyle w:val="TOC2"/>
            <w:tabs>
              <w:tab w:val="right" w:leader="dot" w:pos="9628"/>
            </w:tabs>
            <w:rPr>
              <w:rFonts w:asciiTheme="minorHAnsi" w:eastAsiaTheme="minorEastAsia" w:hAnsiTheme="minorHAnsi"/>
              <w:noProof/>
              <w:szCs w:val="24"/>
              <w:lang w:eastAsia="en-GB"/>
            </w:rPr>
          </w:pPr>
          <w:hyperlink w:anchor="_Toc222745655" w:history="1">
            <w:r w:rsidRPr="002177A6">
              <w:rPr>
                <w:rStyle w:val="Hyperlink"/>
                <w:noProof/>
                <w:lang w:eastAsia="en-GB"/>
              </w:rPr>
              <w:t>Gender Pay gap – bonus payments in the 12 months to 5 April 2025</w:t>
            </w:r>
            <w:r>
              <w:rPr>
                <w:noProof/>
                <w:webHidden/>
              </w:rPr>
              <w:tab/>
            </w:r>
            <w:r>
              <w:rPr>
                <w:noProof/>
                <w:webHidden/>
              </w:rPr>
              <w:fldChar w:fldCharType="begin"/>
            </w:r>
            <w:r>
              <w:rPr>
                <w:noProof/>
                <w:webHidden/>
              </w:rPr>
              <w:instrText xml:space="preserve"> PAGEREF _Toc222745655 \h </w:instrText>
            </w:r>
            <w:r>
              <w:rPr>
                <w:noProof/>
                <w:webHidden/>
              </w:rPr>
            </w:r>
            <w:r>
              <w:rPr>
                <w:noProof/>
                <w:webHidden/>
              </w:rPr>
              <w:fldChar w:fldCharType="separate"/>
            </w:r>
            <w:r>
              <w:rPr>
                <w:noProof/>
                <w:webHidden/>
              </w:rPr>
              <w:t>4</w:t>
            </w:r>
            <w:r>
              <w:rPr>
                <w:noProof/>
                <w:webHidden/>
              </w:rPr>
              <w:fldChar w:fldCharType="end"/>
            </w:r>
          </w:hyperlink>
        </w:p>
        <w:p w14:paraId="37753CAF" w14:textId="20BAD83D" w:rsidR="00FC14EB" w:rsidRDefault="00FC14EB">
          <w:pPr>
            <w:pStyle w:val="TOC3"/>
            <w:tabs>
              <w:tab w:val="right" w:leader="dot" w:pos="9628"/>
            </w:tabs>
            <w:rPr>
              <w:rFonts w:asciiTheme="minorHAnsi" w:eastAsiaTheme="minorEastAsia" w:hAnsiTheme="minorHAnsi"/>
              <w:noProof/>
              <w:szCs w:val="24"/>
              <w:lang w:eastAsia="en-GB"/>
            </w:rPr>
          </w:pPr>
          <w:hyperlink w:anchor="_Toc222745656" w:history="1">
            <w:r w:rsidRPr="002177A6">
              <w:rPr>
                <w:rStyle w:val="Hyperlink"/>
                <w:noProof/>
              </w:rPr>
              <w:t>Table 4: The data for bonus payments: Bonus gender pay gap (average and median)</w:t>
            </w:r>
            <w:r>
              <w:rPr>
                <w:noProof/>
                <w:webHidden/>
              </w:rPr>
              <w:tab/>
            </w:r>
            <w:r>
              <w:rPr>
                <w:noProof/>
                <w:webHidden/>
              </w:rPr>
              <w:fldChar w:fldCharType="begin"/>
            </w:r>
            <w:r>
              <w:rPr>
                <w:noProof/>
                <w:webHidden/>
              </w:rPr>
              <w:instrText xml:space="preserve"> PAGEREF _Toc222745656 \h </w:instrText>
            </w:r>
            <w:r>
              <w:rPr>
                <w:noProof/>
                <w:webHidden/>
              </w:rPr>
            </w:r>
            <w:r>
              <w:rPr>
                <w:noProof/>
                <w:webHidden/>
              </w:rPr>
              <w:fldChar w:fldCharType="separate"/>
            </w:r>
            <w:r>
              <w:rPr>
                <w:noProof/>
                <w:webHidden/>
              </w:rPr>
              <w:t>4</w:t>
            </w:r>
            <w:r>
              <w:rPr>
                <w:noProof/>
                <w:webHidden/>
              </w:rPr>
              <w:fldChar w:fldCharType="end"/>
            </w:r>
          </w:hyperlink>
        </w:p>
        <w:p w14:paraId="27A5E3D6" w14:textId="7D85C23C" w:rsidR="00FC14EB" w:rsidRDefault="00FC14EB">
          <w:pPr>
            <w:pStyle w:val="TOC2"/>
            <w:tabs>
              <w:tab w:val="right" w:leader="dot" w:pos="9628"/>
            </w:tabs>
            <w:rPr>
              <w:rFonts w:asciiTheme="minorHAnsi" w:eastAsiaTheme="minorEastAsia" w:hAnsiTheme="minorHAnsi"/>
              <w:noProof/>
              <w:szCs w:val="24"/>
              <w:lang w:eastAsia="en-GB"/>
            </w:rPr>
          </w:pPr>
          <w:hyperlink w:anchor="_Toc222745657" w:history="1">
            <w:r w:rsidRPr="002177A6">
              <w:rPr>
                <w:rStyle w:val="Hyperlink"/>
                <w:noProof/>
                <w:lang w:eastAsia="en-GB"/>
              </w:rPr>
              <w:t>How are we addressing the gap?</w:t>
            </w:r>
            <w:r>
              <w:rPr>
                <w:noProof/>
                <w:webHidden/>
              </w:rPr>
              <w:tab/>
            </w:r>
            <w:r>
              <w:rPr>
                <w:noProof/>
                <w:webHidden/>
              </w:rPr>
              <w:fldChar w:fldCharType="begin"/>
            </w:r>
            <w:r>
              <w:rPr>
                <w:noProof/>
                <w:webHidden/>
              </w:rPr>
              <w:instrText xml:space="preserve"> PAGEREF _Toc222745657 \h </w:instrText>
            </w:r>
            <w:r>
              <w:rPr>
                <w:noProof/>
                <w:webHidden/>
              </w:rPr>
            </w:r>
            <w:r>
              <w:rPr>
                <w:noProof/>
                <w:webHidden/>
              </w:rPr>
              <w:fldChar w:fldCharType="separate"/>
            </w:r>
            <w:r>
              <w:rPr>
                <w:noProof/>
                <w:webHidden/>
              </w:rPr>
              <w:t>4</w:t>
            </w:r>
            <w:r>
              <w:rPr>
                <w:noProof/>
                <w:webHidden/>
              </w:rPr>
              <w:fldChar w:fldCharType="end"/>
            </w:r>
          </w:hyperlink>
        </w:p>
        <w:p w14:paraId="22224F8D" w14:textId="41EF0A78" w:rsidR="00FC14EB" w:rsidRDefault="00FC14EB">
          <w:pPr>
            <w:pStyle w:val="TOC2"/>
            <w:tabs>
              <w:tab w:val="right" w:leader="dot" w:pos="9628"/>
            </w:tabs>
            <w:rPr>
              <w:rFonts w:asciiTheme="minorHAnsi" w:eastAsiaTheme="minorEastAsia" w:hAnsiTheme="minorHAnsi"/>
              <w:noProof/>
              <w:szCs w:val="24"/>
              <w:lang w:eastAsia="en-GB"/>
            </w:rPr>
          </w:pPr>
          <w:hyperlink w:anchor="_Toc222745658" w:history="1">
            <w:r w:rsidRPr="002177A6">
              <w:rPr>
                <w:rStyle w:val="Hyperlink"/>
                <w:noProof/>
              </w:rPr>
              <w:t>Summary</w:t>
            </w:r>
            <w:r>
              <w:rPr>
                <w:noProof/>
                <w:webHidden/>
              </w:rPr>
              <w:tab/>
            </w:r>
            <w:r>
              <w:rPr>
                <w:noProof/>
                <w:webHidden/>
              </w:rPr>
              <w:fldChar w:fldCharType="begin"/>
            </w:r>
            <w:r>
              <w:rPr>
                <w:noProof/>
                <w:webHidden/>
              </w:rPr>
              <w:instrText xml:space="preserve"> PAGEREF _Toc222745658 \h </w:instrText>
            </w:r>
            <w:r>
              <w:rPr>
                <w:noProof/>
                <w:webHidden/>
              </w:rPr>
            </w:r>
            <w:r>
              <w:rPr>
                <w:noProof/>
                <w:webHidden/>
              </w:rPr>
              <w:fldChar w:fldCharType="separate"/>
            </w:r>
            <w:r>
              <w:rPr>
                <w:noProof/>
                <w:webHidden/>
              </w:rPr>
              <w:t>5</w:t>
            </w:r>
            <w:r>
              <w:rPr>
                <w:noProof/>
                <w:webHidden/>
              </w:rPr>
              <w:fldChar w:fldCharType="end"/>
            </w:r>
          </w:hyperlink>
        </w:p>
        <w:p w14:paraId="3A53FA8F" w14:textId="1952A0A7" w:rsidR="00C4435A" w:rsidRDefault="00C4435A">
          <w:r w:rsidRPr="00474413">
            <w:rPr>
              <w:b/>
              <w:bCs/>
            </w:rPr>
            <w:fldChar w:fldCharType="end"/>
          </w:r>
        </w:p>
      </w:sdtContent>
    </w:sdt>
    <w:p w14:paraId="7F1B45AC" w14:textId="77777777" w:rsidR="00FC14EB" w:rsidRDefault="00FC14EB" w:rsidP="000F4C34">
      <w:pPr>
        <w:pStyle w:val="Heading2"/>
      </w:pPr>
      <w:bookmarkStart w:id="0" w:name="_Toc222745648"/>
    </w:p>
    <w:p w14:paraId="060AA190" w14:textId="1A45B41C" w:rsidR="00EA7EBC" w:rsidRPr="000F4C34" w:rsidRDefault="003346EC" w:rsidP="000F4C34">
      <w:pPr>
        <w:pStyle w:val="Heading2"/>
      </w:pPr>
      <w:r w:rsidRPr="000F4C34">
        <w:t>202</w:t>
      </w:r>
      <w:r w:rsidR="00156721">
        <w:t>5</w:t>
      </w:r>
      <w:r w:rsidRPr="000F4C34">
        <w:t xml:space="preserve"> Gender Pay Report</w:t>
      </w:r>
      <w:bookmarkEnd w:id="0"/>
    </w:p>
    <w:p w14:paraId="60E4BF04" w14:textId="77777777" w:rsidR="00EA7EBC" w:rsidRPr="00773A38" w:rsidRDefault="00EA7EBC" w:rsidP="00EA7EBC">
      <w:pPr>
        <w:rPr>
          <w:rFonts w:cs="Arial"/>
          <w:sz w:val="20"/>
          <w:szCs w:val="20"/>
        </w:rPr>
      </w:pPr>
    </w:p>
    <w:p w14:paraId="31443358" w14:textId="665E635B" w:rsidR="000F4C34" w:rsidRDefault="000F4C34" w:rsidP="006C4DDD">
      <w:r w:rsidRPr="000F4C34">
        <w:t xml:space="preserve">Murgitroyd is a </w:t>
      </w:r>
      <w:r w:rsidR="008A553D" w:rsidRPr="000F4C34">
        <w:t>full-service</w:t>
      </w:r>
      <w:r w:rsidRPr="000F4C34">
        <w:t xml:space="preserve"> intellectual property firm with a commanding presence across Europe, the Americas and Asia.  This report focuses on our UK business only. </w:t>
      </w:r>
      <w:r w:rsidRPr="00600D80">
        <w:t xml:space="preserve">In this reporting period we had </w:t>
      </w:r>
      <w:r w:rsidR="00600D80" w:rsidRPr="007C6DC4">
        <w:t>285</w:t>
      </w:r>
      <w:r w:rsidRPr="00600D80">
        <w:t xml:space="preserve"> UK employees: </w:t>
      </w:r>
      <w:r w:rsidR="00600D80" w:rsidRPr="007C6DC4">
        <w:t>186</w:t>
      </w:r>
      <w:r w:rsidRPr="00600D80">
        <w:t xml:space="preserve"> females and </w:t>
      </w:r>
      <w:r w:rsidR="00600D80" w:rsidRPr="007C6DC4">
        <w:t>99</w:t>
      </w:r>
      <w:r w:rsidRPr="00600D80">
        <w:t xml:space="preserve"> males</w:t>
      </w:r>
      <w:r w:rsidRPr="000F4C34">
        <w:t>.  The report excludes colleagues on long-term sick leave and parental leave.</w:t>
      </w:r>
    </w:p>
    <w:p w14:paraId="52400D94" w14:textId="77777777" w:rsidR="00E91C03" w:rsidRPr="000F4C34" w:rsidRDefault="00E91C03" w:rsidP="006C4DDD"/>
    <w:p w14:paraId="2072881E" w14:textId="44764FB9" w:rsidR="000F4C34" w:rsidRPr="000F4C34" w:rsidRDefault="000F4C34" w:rsidP="006C4DDD">
      <w:r w:rsidRPr="000F4C34">
        <w:t>Gender pay shows the aggregated difference in average hourly earnings between men and women, regardless of seniority, experience and other differences in role, at a specific date i.e. 5th April 202</w:t>
      </w:r>
      <w:r w:rsidR="00156721">
        <w:t>5</w:t>
      </w:r>
      <w:r w:rsidRPr="000F4C34">
        <w:t>. In this way, it differs from equal pay which looks at differences based on gender within equal, or like-for-like roles.</w:t>
      </w:r>
    </w:p>
    <w:p w14:paraId="64DCB5DF" w14:textId="77777777" w:rsidR="000F4C34" w:rsidRPr="000F4C34" w:rsidRDefault="000F4C34" w:rsidP="006C4DDD"/>
    <w:p w14:paraId="023A1717" w14:textId="77777777" w:rsidR="000F4C34" w:rsidRDefault="000F4C34" w:rsidP="006C4DDD">
      <w:r w:rsidRPr="000F4C34">
        <w:t xml:space="preserve">Different jobs attract different levels of remuneration and </w:t>
      </w:r>
      <w:proofErr w:type="gramStart"/>
      <w:r w:rsidRPr="000F4C34">
        <w:t>similar to</w:t>
      </w:r>
      <w:proofErr w:type="gramEnd"/>
      <w:r w:rsidRPr="000F4C34">
        <w:t xml:space="preserve"> other companies in professional services, our gender pay gap is largely due to the type of job roles undertaken by both women and men. This is outlined in more detail later in the report.  </w:t>
      </w:r>
    </w:p>
    <w:p w14:paraId="3E06A6BC" w14:textId="77777777" w:rsidR="00E91C03" w:rsidRPr="000F4C34" w:rsidRDefault="00E91C03" w:rsidP="006C4DDD"/>
    <w:p w14:paraId="2E21BB17" w14:textId="3534B4BE" w:rsidR="00DD2CA6" w:rsidRDefault="00DD2CA6" w:rsidP="006C4DDD">
      <w:r w:rsidRPr="00DF711F">
        <w:t>In relation to the gender profile across STEM (Science, Technology, Engineering and Mathematics) based disciplines (which feed our Patent Attorney group), it is reported that the STEM  graduate ratio is at an all-time high, up 38% since 2020 with Core-STEM degrees accounting for 1 in 5 (18%) of all degrees, highlighting the growing popularity and career opportunities available within the STEM sec</w:t>
      </w:r>
      <w:r w:rsidR="00F75234" w:rsidRPr="00DF711F">
        <w:t>tor.  That said, there remains a significant gender gap.  Of the 191,000 achieved in 2023/24 only 58,755 of core-STEM qualifications were achieved by women in 2024, less than a third to the total number of qualifications. (</w:t>
      </w:r>
      <w:r w:rsidR="00F75234" w:rsidRPr="00DF711F">
        <w:rPr>
          <w:b/>
          <w:bCs/>
          <w:i/>
          <w:iCs/>
        </w:rPr>
        <w:t>https://www.wisecampaign.org.uk/2023-2024-core-stem-subjects-higher-education-statistics/</w:t>
      </w:r>
      <w:r w:rsidR="00F75234" w:rsidRPr="00DF711F">
        <w:t>).</w:t>
      </w:r>
    </w:p>
    <w:p w14:paraId="4F96F783" w14:textId="77777777" w:rsidR="00DD2CA6" w:rsidRDefault="00DD2CA6" w:rsidP="006C4DDD"/>
    <w:p w14:paraId="23E70215" w14:textId="77777777" w:rsidR="00FC14EB" w:rsidRDefault="00FC14EB" w:rsidP="006C4DDD"/>
    <w:p w14:paraId="7E98F367" w14:textId="544CDDD4" w:rsidR="00B97F52" w:rsidRPr="00FC14EB" w:rsidRDefault="00DD2CA6" w:rsidP="006C4DDD">
      <w:pPr>
        <w:rPr>
          <w:b/>
          <w:bCs/>
        </w:rPr>
      </w:pPr>
      <w:r w:rsidRPr="00FC14EB">
        <w:rPr>
          <w:b/>
          <w:bCs/>
        </w:rPr>
        <w:lastRenderedPageBreak/>
        <w:t xml:space="preserve">UK </w:t>
      </w:r>
      <w:r w:rsidR="00B97F52" w:rsidRPr="00FC14EB">
        <w:rPr>
          <w:b/>
          <w:bCs/>
        </w:rPr>
        <w:t xml:space="preserve">Government Policy:  </w:t>
      </w:r>
    </w:p>
    <w:p w14:paraId="31D5A605" w14:textId="1E58DD2D" w:rsidR="00B97F52" w:rsidRDefault="00B97F52" w:rsidP="006C4DDD">
      <w:r w:rsidRPr="00B97F52">
        <w:t xml:space="preserve">In February 2025, the government set out its stance on encouraging more girls to study STEM subjects in a written question response. Baroness Smith of Malvern, the minister for skills and </w:t>
      </w:r>
      <w:r w:rsidR="00DF711F">
        <w:t xml:space="preserve">the </w:t>
      </w:r>
      <w:r w:rsidRPr="00B97F52">
        <w:t>government spokesperson for equalities, said that the government continued to support the take up of STEM subjects by girls and women in HE. She argued that such skills are crucial for the delivery of the government’s missions and said it was building a “coherent, flexible, high-quality skills system to break down barriers to opportunity and drive economic growth”. She explained this would be underpinned by a new post-16 education and skills strategy</w:t>
      </w:r>
      <w:r>
        <w:t>.</w:t>
      </w:r>
    </w:p>
    <w:p w14:paraId="2FE49195" w14:textId="77777777" w:rsidR="00B97F52" w:rsidRDefault="00B97F52" w:rsidP="006C4DDD"/>
    <w:p w14:paraId="7F47C26F" w14:textId="7B1D58CC" w:rsidR="000F4C34" w:rsidRDefault="000F4C34" w:rsidP="006C4DDD">
      <w:r w:rsidRPr="000F4C34">
        <w:t xml:space="preserve">Set against this backdrop, we acknowledge the need for all participants in the IP sector to support the advancement of women within the sector. As such we remain actively engaged with IP Inclusive, participate in industry groups and various panels focused on enhancing the role of women in IP including their representation, advancement and impact across the whole sector. </w:t>
      </w:r>
    </w:p>
    <w:p w14:paraId="0753FA4B" w14:textId="77777777" w:rsidR="00805F6A" w:rsidRDefault="00805F6A" w:rsidP="006C4DDD"/>
    <w:p w14:paraId="59AF5B3E" w14:textId="53664315" w:rsidR="000F4C34" w:rsidRDefault="000F4C34" w:rsidP="000F4C34">
      <w:pPr>
        <w:pStyle w:val="Heading3"/>
        <w:rPr>
          <w:bCs/>
        </w:rPr>
      </w:pPr>
      <w:bookmarkStart w:id="1" w:name="_Toc222745649"/>
      <w:r w:rsidRPr="000F4C34">
        <w:rPr>
          <w:bCs/>
        </w:rPr>
        <w:t>Definitions in respect of gender pay and bonus gaps</w:t>
      </w:r>
      <w:bookmarkEnd w:id="1"/>
    </w:p>
    <w:p w14:paraId="2DB494A9" w14:textId="7047A0F7" w:rsidR="00B6712A" w:rsidRPr="006C4DDD" w:rsidRDefault="00CF0DF8" w:rsidP="006C4DDD">
      <w:pPr>
        <w:rPr>
          <w:b/>
          <w:bCs/>
        </w:rPr>
      </w:pPr>
      <w:r>
        <w:rPr>
          <w:b/>
          <w:bCs/>
        </w:rPr>
        <w:t>Hourly Pay</w:t>
      </w:r>
      <w:r w:rsidR="00FC14EB">
        <w:rPr>
          <w:b/>
          <w:bCs/>
        </w:rPr>
        <w:t>:</w:t>
      </w:r>
    </w:p>
    <w:p w14:paraId="03B7E9AB" w14:textId="09DD345E" w:rsidR="00B6712A" w:rsidRDefault="00B6712A" w:rsidP="006C4DDD">
      <w:r w:rsidRPr="00B6712A">
        <w:t>The rate of pay individuals received for one hour, on the snapshot date of 5th April 202</w:t>
      </w:r>
      <w:r w:rsidR="00156721">
        <w:t>5</w:t>
      </w:r>
      <w:r w:rsidRPr="00B6712A">
        <w:t>, regardless of their role.</w:t>
      </w:r>
    </w:p>
    <w:p w14:paraId="2CD346D3" w14:textId="77777777" w:rsidR="00B6712A" w:rsidRPr="00B6712A" w:rsidRDefault="00B6712A" w:rsidP="006C4DDD"/>
    <w:p w14:paraId="418C0988" w14:textId="54F7AC30" w:rsidR="00B6712A" w:rsidRPr="006C4DDD" w:rsidRDefault="00CF0DF8" w:rsidP="006C4DDD">
      <w:pPr>
        <w:rPr>
          <w:b/>
          <w:bCs/>
        </w:rPr>
      </w:pPr>
      <w:r>
        <w:rPr>
          <w:b/>
          <w:bCs/>
        </w:rPr>
        <w:t>Mean, or Average</w:t>
      </w:r>
      <w:r w:rsidR="00886CD7">
        <w:rPr>
          <w:b/>
          <w:bCs/>
        </w:rPr>
        <w:t>, Pay Gap:</w:t>
      </w:r>
    </w:p>
    <w:p w14:paraId="34567A07" w14:textId="062EAA8E" w:rsidR="00B6712A" w:rsidRDefault="00B6712A" w:rsidP="006C4DDD">
      <w:r w:rsidRPr="00B6712A">
        <w:t xml:space="preserve">The difference between the average hourly rates of pay for female vs. male employees as </w:t>
      </w:r>
      <w:proofErr w:type="gramStart"/>
      <w:r w:rsidRPr="00B6712A">
        <w:t>at</w:t>
      </w:r>
      <w:proofErr w:type="gramEnd"/>
      <w:r w:rsidRPr="00B6712A">
        <w:t xml:space="preserve"> 5 April 202</w:t>
      </w:r>
      <w:r w:rsidR="00156721">
        <w:t>5</w:t>
      </w:r>
      <w:r w:rsidRPr="00B6712A">
        <w:t>.  The mean is calculated by adding all the individual hourly pay rates and dividing by the number of individual hourly pay rates.</w:t>
      </w:r>
    </w:p>
    <w:p w14:paraId="76D5ED6A" w14:textId="77777777" w:rsidR="00B6712A" w:rsidRPr="00B6712A" w:rsidRDefault="00B6712A" w:rsidP="00B6712A">
      <w:pPr>
        <w:rPr>
          <w:rFonts w:cs="Arial"/>
        </w:rPr>
      </w:pPr>
    </w:p>
    <w:p w14:paraId="74942D4A" w14:textId="13D071CF" w:rsidR="00B6712A" w:rsidRPr="006C4DDD" w:rsidRDefault="00886CD7" w:rsidP="006C4DDD">
      <w:pPr>
        <w:rPr>
          <w:b/>
          <w:bCs/>
        </w:rPr>
      </w:pPr>
      <w:r>
        <w:rPr>
          <w:b/>
          <w:bCs/>
        </w:rPr>
        <w:t>Median Pay Gap:</w:t>
      </w:r>
    </w:p>
    <w:p w14:paraId="739A6C69" w14:textId="4751CA19" w:rsidR="00B6712A" w:rsidRPr="00B6712A" w:rsidRDefault="00B6712A" w:rsidP="006C4DDD">
      <w:r w:rsidRPr="00B6712A">
        <w:t xml:space="preserve">The difference between the median hourly rates of pay for female vs. male employees as </w:t>
      </w:r>
      <w:proofErr w:type="gramStart"/>
      <w:r w:rsidRPr="00B6712A">
        <w:t>at</w:t>
      </w:r>
      <w:proofErr w:type="gramEnd"/>
      <w:r w:rsidRPr="00B6712A">
        <w:t xml:space="preserve"> 5 April 202</w:t>
      </w:r>
      <w:r w:rsidR="00156721">
        <w:t>5</w:t>
      </w:r>
      <w:r w:rsidRPr="00B6712A">
        <w:t>. The median is calculated by ranking all the individual hourly pay rates in numerical order (low to high), then finding the number that’s in the middle. That number is the median.</w:t>
      </w:r>
    </w:p>
    <w:p w14:paraId="72587BDF" w14:textId="77777777" w:rsidR="00B6712A" w:rsidRPr="00B6712A" w:rsidRDefault="00B6712A" w:rsidP="006C4DDD"/>
    <w:p w14:paraId="479511E6" w14:textId="06F70C8F" w:rsidR="00B6712A" w:rsidRPr="006C4DDD" w:rsidRDefault="00886CD7" w:rsidP="006C4DDD">
      <w:pPr>
        <w:rPr>
          <w:b/>
          <w:bCs/>
        </w:rPr>
      </w:pPr>
      <w:r>
        <w:rPr>
          <w:b/>
          <w:bCs/>
        </w:rPr>
        <w:t>Pay Quartiles</w:t>
      </w:r>
      <w:r w:rsidR="00FC14EB">
        <w:rPr>
          <w:b/>
          <w:bCs/>
        </w:rPr>
        <w:t>:</w:t>
      </w:r>
    </w:p>
    <w:p w14:paraId="3CDC7002" w14:textId="77777777" w:rsidR="00B6712A" w:rsidRPr="00B6712A" w:rsidRDefault="00B6712A" w:rsidP="006C4DDD">
      <w:r w:rsidRPr="00B6712A">
        <w:t xml:space="preserve">These are calculated by ranking employees’ hourly pay in numerical order, (low to high), then dividing these into four equal quarters. In the tables and charts that follow below each quartile is reported as:  </w:t>
      </w:r>
    </w:p>
    <w:p w14:paraId="79CFF02A" w14:textId="77777777" w:rsidR="00B6712A" w:rsidRPr="00BF7837" w:rsidRDefault="00B6712A" w:rsidP="00187D51">
      <w:pPr>
        <w:pStyle w:val="ListParagraph"/>
        <w:numPr>
          <w:ilvl w:val="0"/>
          <w:numId w:val="41"/>
        </w:numPr>
        <w:rPr>
          <w:sz w:val="23"/>
          <w:szCs w:val="23"/>
        </w:rPr>
      </w:pPr>
      <w:r w:rsidRPr="00BF7837">
        <w:rPr>
          <w:sz w:val="23"/>
          <w:szCs w:val="23"/>
        </w:rPr>
        <w:t xml:space="preserve">Quartile 1:  </w:t>
      </w:r>
      <w:r w:rsidRPr="00BF7837">
        <w:rPr>
          <w:sz w:val="23"/>
          <w:szCs w:val="23"/>
          <w:u w:val="single"/>
        </w:rPr>
        <w:t>Lower</w:t>
      </w:r>
      <w:r w:rsidRPr="00BF7837">
        <w:rPr>
          <w:sz w:val="23"/>
          <w:szCs w:val="23"/>
        </w:rPr>
        <w:t>, i.e. those earning in the lowest 25% of the population</w:t>
      </w:r>
    </w:p>
    <w:p w14:paraId="393D74B8" w14:textId="77777777" w:rsidR="00B6712A" w:rsidRPr="00BF7837" w:rsidRDefault="00B6712A" w:rsidP="00187D51">
      <w:pPr>
        <w:pStyle w:val="ListParagraph"/>
        <w:numPr>
          <w:ilvl w:val="0"/>
          <w:numId w:val="41"/>
        </w:numPr>
        <w:rPr>
          <w:sz w:val="23"/>
          <w:szCs w:val="23"/>
        </w:rPr>
      </w:pPr>
      <w:r w:rsidRPr="00BF7837">
        <w:rPr>
          <w:sz w:val="23"/>
          <w:szCs w:val="23"/>
        </w:rPr>
        <w:t xml:space="preserve">Quartile 2:  </w:t>
      </w:r>
      <w:r w:rsidRPr="00BF7837">
        <w:rPr>
          <w:sz w:val="23"/>
          <w:szCs w:val="23"/>
          <w:u w:val="single"/>
        </w:rPr>
        <w:t>Lower Middle</w:t>
      </w:r>
      <w:r w:rsidRPr="00BF7837">
        <w:rPr>
          <w:sz w:val="23"/>
          <w:szCs w:val="23"/>
        </w:rPr>
        <w:t>, i.e. those earning above 25% and up to 50% of the population</w:t>
      </w:r>
    </w:p>
    <w:p w14:paraId="05B37B42" w14:textId="77777777" w:rsidR="00B6712A" w:rsidRPr="00BF7837" w:rsidRDefault="00B6712A" w:rsidP="00187D51">
      <w:pPr>
        <w:pStyle w:val="ListParagraph"/>
        <w:numPr>
          <w:ilvl w:val="0"/>
          <w:numId w:val="41"/>
        </w:numPr>
        <w:rPr>
          <w:sz w:val="23"/>
          <w:szCs w:val="23"/>
        </w:rPr>
      </w:pPr>
      <w:r w:rsidRPr="00BF7837">
        <w:rPr>
          <w:sz w:val="23"/>
          <w:szCs w:val="23"/>
        </w:rPr>
        <w:t xml:space="preserve">Quartile 3:  </w:t>
      </w:r>
      <w:r w:rsidRPr="00BF7837">
        <w:rPr>
          <w:sz w:val="23"/>
          <w:szCs w:val="23"/>
          <w:u w:val="single"/>
        </w:rPr>
        <w:t>Upper Middle</w:t>
      </w:r>
      <w:r w:rsidRPr="00BF7837">
        <w:rPr>
          <w:sz w:val="23"/>
          <w:szCs w:val="23"/>
        </w:rPr>
        <w:t>, i.e. those earning above 50% and up to 75% of the population</w:t>
      </w:r>
    </w:p>
    <w:p w14:paraId="108745E8" w14:textId="4348E5A4" w:rsidR="00B6712A" w:rsidRPr="00BF7837" w:rsidRDefault="00B6712A" w:rsidP="00187D51">
      <w:pPr>
        <w:pStyle w:val="ListParagraph"/>
        <w:numPr>
          <w:ilvl w:val="0"/>
          <w:numId w:val="41"/>
        </w:numPr>
        <w:rPr>
          <w:sz w:val="23"/>
          <w:szCs w:val="23"/>
        </w:rPr>
      </w:pPr>
      <w:r w:rsidRPr="00BF7837">
        <w:rPr>
          <w:sz w:val="23"/>
          <w:szCs w:val="23"/>
        </w:rPr>
        <w:t xml:space="preserve">Quartile 4:  </w:t>
      </w:r>
      <w:r w:rsidRPr="00BF7837">
        <w:rPr>
          <w:sz w:val="23"/>
          <w:szCs w:val="23"/>
          <w:u w:val="single"/>
        </w:rPr>
        <w:t>Upper</w:t>
      </w:r>
      <w:r w:rsidR="00712921" w:rsidRPr="00BF7837">
        <w:rPr>
          <w:sz w:val="23"/>
          <w:szCs w:val="23"/>
          <w:u w:val="single"/>
        </w:rPr>
        <w:t>,</w:t>
      </w:r>
      <w:r w:rsidRPr="00BF7837">
        <w:rPr>
          <w:sz w:val="23"/>
          <w:szCs w:val="23"/>
        </w:rPr>
        <w:t xml:space="preserve"> i.e. those earning above 75% of the population</w:t>
      </w:r>
    </w:p>
    <w:p w14:paraId="031314AD" w14:textId="77777777" w:rsidR="000F4C34" w:rsidRDefault="000F4C34" w:rsidP="000F4C34">
      <w:pPr>
        <w:rPr>
          <w:rFonts w:cs="Arial"/>
          <w:b/>
          <w:bCs/>
          <w:szCs w:val="24"/>
        </w:rPr>
      </w:pPr>
    </w:p>
    <w:p w14:paraId="4B8CE501" w14:textId="27C309FC" w:rsidR="003C3CEC" w:rsidRDefault="00712921" w:rsidP="003C3CEC">
      <w:pPr>
        <w:pStyle w:val="Heading2"/>
      </w:pPr>
      <w:bookmarkStart w:id="2" w:name="_Toc222745650"/>
      <w:r>
        <w:t xml:space="preserve">Differences in gender pay between men and women in </w:t>
      </w:r>
      <w:r w:rsidR="003C3CEC">
        <w:t>202</w:t>
      </w:r>
      <w:r w:rsidR="00156721">
        <w:t>5</w:t>
      </w:r>
      <w:bookmarkEnd w:id="2"/>
    </w:p>
    <w:p w14:paraId="6530D6CD" w14:textId="77777777" w:rsidR="006C4DDD" w:rsidRDefault="006C4DDD" w:rsidP="006C4DDD"/>
    <w:p w14:paraId="53939614" w14:textId="7013871B" w:rsidR="006C4DDD" w:rsidRDefault="00886CD7" w:rsidP="00187D51">
      <w:pPr>
        <w:pStyle w:val="Heading3"/>
      </w:pPr>
      <w:bookmarkStart w:id="3" w:name="_Toc222745651"/>
      <w:r>
        <w:t>Gender profile</w:t>
      </w:r>
      <w:bookmarkEnd w:id="3"/>
    </w:p>
    <w:p w14:paraId="591C021A" w14:textId="63E499F7" w:rsidR="0067224F" w:rsidRDefault="006C4DDD" w:rsidP="00886CD7">
      <w:r w:rsidRPr="00FF5A13">
        <w:t xml:space="preserve">Murgitroyd’s gender profile remains </w:t>
      </w:r>
      <w:r w:rsidR="00187D51" w:rsidRPr="00FF5A13">
        <w:t>one-third male and two-thirds female.</w:t>
      </w:r>
      <w:r w:rsidR="00187D51">
        <w:t xml:space="preserve"> In some roles within Murgitroyd, such as Paralegal Support and Paralegals, women make up a significant proportion of the population. This is reflected in the Lower and Lower Middle quartile data. The Attorney group, including director-level</w:t>
      </w:r>
      <w:r>
        <w:t xml:space="preserve"> roles, is </w:t>
      </w:r>
      <w:r w:rsidR="00FF5A13">
        <w:t>3</w:t>
      </w:r>
      <w:r>
        <w:t xml:space="preserve">5% Male and </w:t>
      </w:r>
      <w:r w:rsidR="00FF5A13">
        <w:t>6</w:t>
      </w:r>
      <w:r>
        <w:t>5% female. They are reflected in the upper middle and upper quartiles.</w:t>
      </w:r>
      <w:r w:rsidR="00187D51">
        <w:t xml:space="preserve">  </w:t>
      </w:r>
      <w:r>
        <w:t>Chart 1 below shows the percentage of Male and Female within each of the four quartiles.</w:t>
      </w:r>
    </w:p>
    <w:p w14:paraId="135FC4C2" w14:textId="53E7CB4D" w:rsidR="0067224F" w:rsidRPr="00753552" w:rsidRDefault="00753552" w:rsidP="006C4DDD">
      <w:pPr>
        <w:rPr>
          <w:b/>
          <w:bCs/>
        </w:rPr>
      </w:pPr>
      <w:r w:rsidRPr="00753552">
        <w:rPr>
          <w:b/>
          <w:bCs/>
        </w:rPr>
        <w:lastRenderedPageBreak/>
        <w:t>Chart 1</w:t>
      </w:r>
      <w:r>
        <w:rPr>
          <w:b/>
          <w:bCs/>
        </w:rPr>
        <w:t>.</w:t>
      </w:r>
    </w:p>
    <w:p w14:paraId="317674A3" w14:textId="0DBC5648" w:rsidR="00D11E02" w:rsidRDefault="00FC14EB" w:rsidP="006C4DDD">
      <w:pPr>
        <w:rPr>
          <w:b/>
        </w:rPr>
      </w:pPr>
      <w:r w:rsidRPr="00FC14EB">
        <w:rPr>
          <w:b/>
          <w:noProof/>
        </w:rPr>
        <w:drawing>
          <wp:inline distT="0" distB="0" distL="0" distR="0" wp14:anchorId="0D46C633" wp14:editId="000F1BA1">
            <wp:extent cx="6123940" cy="3644621"/>
            <wp:effectExtent l="19050" t="19050" r="10160" b="13335"/>
            <wp:docPr id="113868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68890" name=""/>
                    <pic:cNvPicPr/>
                  </pic:nvPicPr>
                  <pic:blipFill rotWithShape="1">
                    <a:blip r:embed="rId8"/>
                    <a:srcRect l="925" t="1544"/>
                    <a:stretch>
                      <a:fillRect/>
                    </a:stretch>
                  </pic:blipFill>
                  <pic:spPr bwMode="auto">
                    <a:xfrm>
                      <a:off x="0" y="0"/>
                      <a:ext cx="6148071" cy="365898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5B5C957" w14:textId="77777777" w:rsidR="00FC14EB" w:rsidRDefault="00FC14EB" w:rsidP="00D11E02"/>
    <w:p w14:paraId="7EC545A0" w14:textId="04DF4DBC" w:rsidR="00D11E02" w:rsidRDefault="00D11E02" w:rsidP="00D11E02">
      <w:r>
        <w:t xml:space="preserve">The gender profile by roles has a significant impact on the overall gender pay gap reported in Tables 2 and 3 that follow. </w:t>
      </w:r>
    </w:p>
    <w:p w14:paraId="23A1DDDA" w14:textId="77777777" w:rsidR="00D11E02" w:rsidRDefault="00D11E02" w:rsidP="006C4DDD">
      <w:pPr>
        <w:rPr>
          <w:b/>
        </w:rPr>
      </w:pPr>
    </w:p>
    <w:p w14:paraId="53F2339D" w14:textId="72E8833D" w:rsidR="00D11E02" w:rsidRDefault="00D11E02" w:rsidP="00D11E02">
      <w:pPr>
        <w:pStyle w:val="Heading2"/>
      </w:pPr>
      <w:bookmarkStart w:id="4" w:name="_Toc222745652"/>
      <w:bookmarkStart w:id="5" w:name="_Toc153295142"/>
      <w:r>
        <w:t xml:space="preserve">Gender Pay Gap – Hourly Pay as </w:t>
      </w:r>
      <w:proofErr w:type="gramStart"/>
      <w:r>
        <w:t>at</w:t>
      </w:r>
      <w:proofErr w:type="gramEnd"/>
      <w:r>
        <w:t xml:space="preserve"> 5 April 202</w:t>
      </w:r>
      <w:r w:rsidR="00156721">
        <w:t>5</w:t>
      </w:r>
      <w:bookmarkEnd w:id="4"/>
    </w:p>
    <w:p w14:paraId="7E452E68" w14:textId="77777777" w:rsidR="000E68A6" w:rsidRDefault="000E68A6" w:rsidP="00D11E02"/>
    <w:p w14:paraId="0DB2F48A" w14:textId="0D89AF97" w:rsidR="00D11E02" w:rsidRDefault="00D11E02" w:rsidP="00D11E02">
      <w:r>
        <w:t xml:space="preserve">In Table 2 below, the reported average </w:t>
      </w:r>
      <w:r w:rsidR="00A74772">
        <w:t xml:space="preserve">(Mean) </w:t>
      </w:r>
      <w:r>
        <w:t xml:space="preserve">gender pay gap is </w:t>
      </w:r>
      <w:r w:rsidR="00A74772">
        <w:t>42.2</w:t>
      </w:r>
      <w:r>
        <w:t>%.</w:t>
      </w:r>
      <w:r w:rsidRPr="008D78EF">
        <w:t xml:space="preserve"> </w:t>
      </w:r>
      <w:r>
        <w:t xml:space="preserve">The major cause of this difference is the gender profile of roles, with the significant proportion of female colleagues in the Lower and Lower Middle quartiles as outlined in </w:t>
      </w:r>
      <w:r w:rsidR="008A553D">
        <w:t xml:space="preserve">Chart </w:t>
      </w:r>
      <w:r>
        <w:t xml:space="preserve">1. </w:t>
      </w:r>
    </w:p>
    <w:p w14:paraId="03932E9E" w14:textId="77777777" w:rsidR="00620202" w:rsidRDefault="00620202" w:rsidP="00D11E02"/>
    <w:p w14:paraId="251F3896" w14:textId="5CFFA70E" w:rsidR="00620202" w:rsidRPr="00620202" w:rsidRDefault="00620202" w:rsidP="00886CD7">
      <w:pPr>
        <w:pStyle w:val="Heading3"/>
      </w:pPr>
      <w:bookmarkStart w:id="6" w:name="_Toc222745653"/>
      <w:r w:rsidRPr="00620202">
        <w:t xml:space="preserve">Table 2: Overall mean and median gender pay gap as </w:t>
      </w:r>
      <w:proofErr w:type="gramStart"/>
      <w:r w:rsidRPr="00620202">
        <w:t>at</w:t>
      </w:r>
      <w:proofErr w:type="gramEnd"/>
      <w:r w:rsidRPr="00620202">
        <w:t xml:space="preserve"> April 202</w:t>
      </w:r>
      <w:r w:rsidR="00156721">
        <w:t>5</w:t>
      </w:r>
      <w:bookmarkEnd w:id="6"/>
    </w:p>
    <w:tbl>
      <w:tblPr>
        <w:tblStyle w:val="TableGrid"/>
        <w:tblW w:w="0" w:type="auto"/>
        <w:tblLook w:val="04A0" w:firstRow="1" w:lastRow="0" w:firstColumn="1" w:lastColumn="0" w:noHBand="0" w:noVBand="1"/>
      </w:tblPr>
      <w:tblGrid>
        <w:gridCol w:w="3209"/>
        <w:gridCol w:w="3209"/>
        <w:gridCol w:w="3210"/>
      </w:tblGrid>
      <w:tr w:rsidR="000E68A6" w:rsidRPr="00647DAB" w14:paraId="2E9134EA" w14:textId="77777777" w:rsidTr="00647DAB">
        <w:tc>
          <w:tcPr>
            <w:tcW w:w="3209" w:type="dxa"/>
            <w:shd w:val="clear" w:color="auto" w:fill="808080" w:themeFill="background1" w:themeFillShade="80"/>
          </w:tcPr>
          <w:p w14:paraId="1C9A3496" w14:textId="23ACA937" w:rsidR="000E68A6" w:rsidRPr="00647DAB" w:rsidRDefault="000E68A6" w:rsidP="00D11E02">
            <w:pPr>
              <w:rPr>
                <w:b/>
                <w:bCs/>
              </w:rPr>
            </w:pPr>
            <w:r w:rsidRPr="00647DAB">
              <w:rPr>
                <w:b/>
                <w:bCs/>
              </w:rPr>
              <w:t>Pay</w:t>
            </w:r>
          </w:p>
        </w:tc>
        <w:tc>
          <w:tcPr>
            <w:tcW w:w="3209" w:type="dxa"/>
            <w:shd w:val="clear" w:color="auto" w:fill="808080" w:themeFill="background1" w:themeFillShade="80"/>
          </w:tcPr>
          <w:p w14:paraId="62E01F74" w14:textId="1865A5C0" w:rsidR="000E68A6" w:rsidRPr="00647DAB" w:rsidRDefault="000E68A6" w:rsidP="00FC14EB">
            <w:pPr>
              <w:jc w:val="center"/>
              <w:rPr>
                <w:b/>
                <w:bCs/>
              </w:rPr>
            </w:pPr>
            <w:r w:rsidRPr="00647DAB">
              <w:rPr>
                <w:b/>
                <w:bCs/>
              </w:rPr>
              <w:t>Mean</w:t>
            </w:r>
          </w:p>
        </w:tc>
        <w:tc>
          <w:tcPr>
            <w:tcW w:w="3210" w:type="dxa"/>
            <w:shd w:val="clear" w:color="auto" w:fill="808080" w:themeFill="background1" w:themeFillShade="80"/>
          </w:tcPr>
          <w:p w14:paraId="4B23917D" w14:textId="1E1B7E34" w:rsidR="000E68A6" w:rsidRPr="00647DAB" w:rsidRDefault="000E68A6" w:rsidP="00FC14EB">
            <w:pPr>
              <w:jc w:val="center"/>
              <w:rPr>
                <w:b/>
                <w:bCs/>
              </w:rPr>
            </w:pPr>
            <w:r w:rsidRPr="00647DAB">
              <w:rPr>
                <w:b/>
                <w:bCs/>
              </w:rPr>
              <w:t>Median</w:t>
            </w:r>
          </w:p>
        </w:tc>
      </w:tr>
      <w:tr w:rsidR="000E68A6" w14:paraId="62BD6544" w14:textId="77777777" w:rsidTr="000E68A6">
        <w:tc>
          <w:tcPr>
            <w:tcW w:w="3209" w:type="dxa"/>
          </w:tcPr>
          <w:p w14:paraId="13A7B9F2" w14:textId="0C113D6B" w:rsidR="000E68A6" w:rsidRDefault="000E68A6" w:rsidP="00D11E02">
            <w:r>
              <w:t>Hourly Pay</w:t>
            </w:r>
          </w:p>
        </w:tc>
        <w:tc>
          <w:tcPr>
            <w:tcW w:w="3209" w:type="dxa"/>
          </w:tcPr>
          <w:p w14:paraId="24953096" w14:textId="605AC7A3" w:rsidR="000E68A6" w:rsidRDefault="000E68A6" w:rsidP="00FC14EB">
            <w:pPr>
              <w:jc w:val="center"/>
            </w:pPr>
            <w:r>
              <w:t>4</w:t>
            </w:r>
            <w:r w:rsidR="00071AB5">
              <w:t>2.2%</w:t>
            </w:r>
          </w:p>
        </w:tc>
        <w:tc>
          <w:tcPr>
            <w:tcW w:w="3210" w:type="dxa"/>
          </w:tcPr>
          <w:p w14:paraId="0A75C2C3" w14:textId="15A99BDF" w:rsidR="000E68A6" w:rsidRDefault="00071AB5" w:rsidP="00FC14EB">
            <w:pPr>
              <w:jc w:val="center"/>
            </w:pPr>
            <w:r>
              <w:t>51.8%</w:t>
            </w:r>
          </w:p>
        </w:tc>
      </w:tr>
    </w:tbl>
    <w:p w14:paraId="7F88E9F5" w14:textId="77777777" w:rsidR="00D11E02" w:rsidRDefault="00D11E02" w:rsidP="00D11E02"/>
    <w:bookmarkEnd w:id="5"/>
    <w:p w14:paraId="59C84DE4" w14:textId="77777777" w:rsidR="00EF73D1" w:rsidRDefault="00EF73D1" w:rsidP="00EF73D1">
      <w:r>
        <w:t>For greater context, Table 3 shows the gender pay gap overall and for each quartile.</w:t>
      </w:r>
    </w:p>
    <w:p w14:paraId="17720845" w14:textId="77777777" w:rsidR="00BC7043" w:rsidRDefault="00BC7043" w:rsidP="00EF73D1"/>
    <w:p w14:paraId="721E459E" w14:textId="03A430E1" w:rsidR="00BC7043" w:rsidRPr="00BC7043" w:rsidRDefault="00BC7043" w:rsidP="00886CD7">
      <w:pPr>
        <w:pStyle w:val="Heading3"/>
        <w:rPr>
          <w:sz w:val="28"/>
          <w:szCs w:val="28"/>
        </w:rPr>
      </w:pPr>
      <w:bookmarkStart w:id="7" w:name="_Toc222745654"/>
      <w:r w:rsidRPr="00BC7043">
        <w:t xml:space="preserve">Table 3: Median and average pay gap by quartile as </w:t>
      </w:r>
      <w:proofErr w:type="gramStart"/>
      <w:r w:rsidRPr="00BC7043">
        <w:t>at</w:t>
      </w:r>
      <w:proofErr w:type="gramEnd"/>
      <w:r w:rsidRPr="00BC7043">
        <w:t xml:space="preserve"> April 202</w:t>
      </w:r>
      <w:r w:rsidR="00156721">
        <w:t>5</w:t>
      </w:r>
      <w:bookmarkEnd w:id="7"/>
    </w:p>
    <w:tbl>
      <w:tblPr>
        <w:tblStyle w:val="ListTable3-Accent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1134"/>
        <w:gridCol w:w="1842"/>
        <w:gridCol w:w="1985"/>
        <w:gridCol w:w="1417"/>
      </w:tblGrid>
      <w:tr w:rsidR="00BC7043" w:rsidRPr="00BC7043" w14:paraId="579308E5" w14:textId="77777777" w:rsidTr="00BC7043">
        <w:trPr>
          <w:cnfStyle w:val="100000000000" w:firstRow="1" w:lastRow="0" w:firstColumn="0" w:lastColumn="0" w:oddVBand="0" w:evenVBand="0" w:oddHBand="0" w:evenHBand="0" w:firstRowFirstColumn="0" w:firstRowLastColumn="0" w:lastRowFirstColumn="0" w:lastRowLastColumn="0"/>
          <w:trHeight w:val="390"/>
        </w:trPr>
        <w:tc>
          <w:tcPr>
            <w:cnfStyle w:val="001000000100" w:firstRow="0" w:lastRow="0" w:firstColumn="1" w:lastColumn="0" w:oddVBand="0" w:evenVBand="0" w:oddHBand="0" w:evenHBand="0" w:firstRowFirstColumn="1" w:firstRowLastColumn="0" w:lastRowFirstColumn="0" w:lastRowLastColumn="0"/>
            <w:tcW w:w="1838" w:type="dxa"/>
            <w:shd w:val="clear" w:color="auto" w:fill="808080" w:themeFill="background1" w:themeFillShade="80"/>
            <w:noWrap/>
            <w:hideMark/>
          </w:tcPr>
          <w:p w14:paraId="5C92F698" w14:textId="77777777" w:rsidR="00BC7043" w:rsidRPr="00BC7043" w:rsidRDefault="00BC7043" w:rsidP="00D351D4">
            <w:pPr>
              <w:spacing w:before="0"/>
              <w:rPr>
                <w:rFonts w:eastAsiaTheme="minorHAnsi"/>
                <w:color w:val="auto"/>
                <w:kern w:val="2"/>
                <w:szCs w:val="22"/>
                <w14:ligatures w14:val="standardContextual"/>
              </w:rPr>
            </w:pPr>
            <w:r w:rsidRPr="00BC7043">
              <w:rPr>
                <w:rFonts w:eastAsiaTheme="minorHAnsi"/>
                <w:color w:val="auto"/>
                <w:kern w:val="2"/>
                <w:szCs w:val="22"/>
                <w14:ligatures w14:val="standardContextual"/>
              </w:rPr>
              <w:t>Gender</w:t>
            </w:r>
          </w:p>
        </w:tc>
        <w:tc>
          <w:tcPr>
            <w:tcW w:w="1418" w:type="dxa"/>
            <w:shd w:val="clear" w:color="auto" w:fill="808080" w:themeFill="background1" w:themeFillShade="80"/>
            <w:noWrap/>
            <w:hideMark/>
          </w:tcPr>
          <w:p w14:paraId="0D0B12FE" w14:textId="77777777" w:rsidR="00BC7043" w:rsidRPr="00BC7043" w:rsidRDefault="00BC7043" w:rsidP="00FC14EB">
            <w:pPr>
              <w:spacing w:before="0"/>
              <w:jc w:val="center"/>
              <w:cnfStyle w:val="100000000000" w:firstRow="1" w:lastRow="0" w:firstColumn="0" w:lastColumn="0" w:oddVBand="0" w:evenVBand="0" w:oddHBand="0" w:evenHBand="0" w:firstRowFirstColumn="0" w:firstRowLastColumn="0" w:lastRowFirstColumn="0" w:lastRowLastColumn="0"/>
              <w:rPr>
                <w:rFonts w:eastAsiaTheme="minorHAnsi"/>
                <w:color w:val="auto"/>
                <w:kern w:val="2"/>
                <w:szCs w:val="22"/>
                <w14:ligatures w14:val="standardContextual"/>
              </w:rPr>
            </w:pPr>
            <w:r w:rsidRPr="00BC7043">
              <w:rPr>
                <w:rFonts w:eastAsiaTheme="minorHAnsi"/>
                <w:color w:val="auto"/>
                <w:kern w:val="2"/>
                <w:szCs w:val="22"/>
                <w14:ligatures w14:val="standardContextual"/>
              </w:rPr>
              <w:t>All</w:t>
            </w:r>
          </w:p>
        </w:tc>
        <w:tc>
          <w:tcPr>
            <w:tcW w:w="1134" w:type="dxa"/>
            <w:shd w:val="clear" w:color="auto" w:fill="808080" w:themeFill="background1" w:themeFillShade="80"/>
            <w:noWrap/>
            <w:hideMark/>
          </w:tcPr>
          <w:p w14:paraId="7CE451B8" w14:textId="77777777" w:rsidR="00BC7043" w:rsidRPr="00BC7043" w:rsidRDefault="00BC7043" w:rsidP="00BC7043">
            <w:pPr>
              <w:spacing w:before="0"/>
              <w:cnfStyle w:val="100000000000" w:firstRow="1" w:lastRow="0" w:firstColumn="0" w:lastColumn="0" w:oddVBand="0" w:evenVBand="0" w:oddHBand="0" w:evenHBand="0" w:firstRowFirstColumn="0" w:firstRowLastColumn="0" w:lastRowFirstColumn="0" w:lastRowLastColumn="0"/>
              <w:rPr>
                <w:rFonts w:eastAsiaTheme="minorHAnsi"/>
                <w:color w:val="auto"/>
                <w:kern w:val="2"/>
                <w:szCs w:val="22"/>
                <w14:ligatures w14:val="standardContextual"/>
              </w:rPr>
            </w:pPr>
            <w:r w:rsidRPr="00BC7043">
              <w:rPr>
                <w:rFonts w:eastAsiaTheme="minorHAnsi"/>
                <w:color w:val="auto"/>
                <w:kern w:val="2"/>
                <w:szCs w:val="22"/>
                <w14:ligatures w14:val="standardContextual"/>
              </w:rPr>
              <w:t>Lower</w:t>
            </w:r>
          </w:p>
        </w:tc>
        <w:tc>
          <w:tcPr>
            <w:tcW w:w="1842" w:type="dxa"/>
            <w:shd w:val="clear" w:color="auto" w:fill="808080" w:themeFill="background1" w:themeFillShade="80"/>
            <w:noWrap/>
            <w:hideMark/>
          </w:tcPr>
          <w:p w14:paraId="5E1FE991" w14:textId="77777777" w:rsidR="00BC7043" w:rsidRPr="00BC7043" w:rsidRDefault="00BC7043" w:rsidP="00BC7043">
            <w:pPr>
              <w:spacing w:before="0"/>
              <w:cnfStyle w:val="100000000000" w:firstRow="1" w:lastRow="0" w:firstColumn="0" w:lastColumn="0" w:oddVBand="0" w:evenVBand="0" w:oddHBand="0" w:evenHBand="0" w:firstRowFirstColumn="0" w:firstRowLastColumn="0" w:lastRowFirstColumn="0" w:lastRowLastColumn="0"/>
              <w:rPr>
                <w:rFonts w:eastAsiaTheme="minorHAnsi"/>
                <w:color w:val="auto"/>
                <w:kern w:val="2"/>
                <w:szCs w:val="22"/>
                <w14:ligatures w14:val="standardContextual"/>
              </w:rPr>
            </w:pPr>
            <w:r w:rsidRPr="00BC7043">
              <w:rPr>
                <w:rFonts w:eastAsiaTheme="minorHAnsi"/>
                <w:color w:val="auto"/>
                <w:kern w:val="2"/>
                <w:szCs w:val="22"/>
                <w14:ligatures w14:val="standardContextual"/>
              </w:rPr>
              <w:t>Lower Middle</w:t>
            </w:r>
          </w:p>
        </w:tc>
        <w:tc>
          <w:tcPr>
            <w:tcW w:w="1985" w:type="dxa"/>
            <w:shd w:val="clear" w:color="auto" w:fill="808080" w:themeFill="background1" w:themeFillShade="80"/>
            <w:noWrap/>
            <w:hideMark/>
          </w:tcPr>
          <w:p w14:paraId="095044E8" w14:textId="77777777" w:rsidR="00BC7043" w:rsidRPr="00BC7043" w:rsidRDefault="00BC7043" w:rsidP="00BC7043">
            <w:pPr>
              <w:spacing w:before="0"/>
              <w:cnfStyle w:val="100000000000" w:firstRow="1" w:lastRow="0" w:firstColumn="0" w:lastColumn="0" w:oddVBand="0" w:evenVBand="0" w:oddHBand="0" w:evenHBand="0" w:firstRowFirstColumn="0" w:firstRowLastColumn="0" w:lastRowFirstColumn="0" w:lastRowLastColumn="0"/>
              <w:rPr>
                <w:rFonts w:eastAsiaTheme="minorHAnsi"/>
                <w:color w:val="auto"/>
                <w:kern w:val="2"/>
                <w:szCs w:val="22"/>
                <w14:ligatures w14:val="standardContextual"/>
              </w:rPr>
            </w:pPr>
            <w:r w:rsidRPr="00BC7043">
              <w:rPr>
                <w:rFonts w:eastAsiaTheme="minorHAnsi"/>
                <w:color w:val="auto"/>
                <w:kern w:val="2"/>
                <w:szCs w:val="22"/>
                <w14:ligatures w14:val="standardContextual"/>
              </w:rPr>
              <w:t>Upper Middle</w:t>
            </w:r>
          </w:p>
        </w:tc>
        <w:tc>
          <w:tcPr>
            <w:tcW w:w="1417" w:type="dxa"/>
            <w:shd w:val="clear" w:color="auto" w:fill="808080" w:themeFill="background1" w:themeFillShade="80"/>
            <w:noWrap/>
            <w:hideMark/>
          </w:tcPr>
          <w:p w14:paraId="67703AF7" w14:textId="77777777" w:rsidR="00BC7043" w:rsidRPr="00BC7043" w:rsidRDefault="00BC7043" w:rsidP="00BC7043">
            <w:pPr>
              <w:spacing w:before="0"/>
              <w:cnfStyle w:val="100000000000" w:firstRow="1" w:lastRow="0" w:firstColumn="0" w:lastColumn="0" w:oddVBand="0" w:evenVBand="0" w:oddHBand="0" w:evenHBand="0" w:firstRowFirstColumn="0" w:firstRowLastColumn="0" w:lastRowFirstColumn="0" w:lastRowLastColumn="0"/>
              <w:rPr>
                <w:rFonts w:eastAsiaTheme="minorHAnsi"/>
                <w:color w:val="auto"/>
                <w:kern w:val="2"/>
                <w:szCs w:val="22"/>
                <w14:ligatures w14:val="standardContextual"/>
              </w:rPr>
            </w:pPr>
            <w:r w:rsidRPr="00BC7043">
              <w:rPr>
                <w:rFonts w:eastAsiaTheme="minorHAnsi"/>
                <w:color w:val="auto"/>
                <w:kern w:val="2"/>
                <w:szCs w:val="22"/>
                <w14:ligatures w14:val="standardContextual"/>
              </w:rPr>
              <w:t>Upper</w:t>
            </w:r>
          </w:p>
        </w:tc>
      </w:tr>
      <w:tr w:rsidR="00BC7043" w:rsidRPr="002849F6" w14:paraId="08B9AEE6" w14:textId="77777777" w:rsidTr="00BC7043">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noWrap/>
            <w:hideMark/>
          </w:tcPr>
          <w:p w14:paraId="3EC91A00" w14:textId="77777777" w:rsidR="00BC7043" w:rsidRPr="00BC7043" w:rsidRDefault="00BC7043" w:rsidP="00D351D4">
            <w:pPr>
              <w:spacing w:before="0"/>
              <w:rPr>
                <w:rFonts w:eastAsiaTheme="minorHAnsi"/>
                <w:b w:val="0"/>
                <w:bCs w:val="0"/>
                <w:kern w:val="2"/>
                <w:szCs w:val="22"/>
                <w14:ligatures w14:val="standardContextual"/>
              </w:rPr>
            </w:pPr>
            <w:r w:rsidRPr="00BC7043">
              <w:rPr>
                <w:rFonts w:eastAsiaTheme="minorHAnsi"/>
                <w:b w:val="0"/>
                <w:bCs w:val="0"/>
                <w:kern w:val="2"/>
                <w:szCs w:val="22"/>
                <w14:ligatures w14:val="standardContextual"/>
              </w:rPr>
              <w:t>Median GPG by Quartile</w:t>
            </w:r>
          </w:p>
        </w:tc>
        <w:tc>
          <w:tcPr>
            <w:tcW w:w="1418" w:type="dxa"/>
            <w:tcBorders>
              <w:top w:val="none" w:sz="0" w:space="0" w:color="auto"/>
              <w:bottom w:val="none" w:sz="0" w:space="0" w:color="auto"/>
            </w:tcBorders>
            <w:noWrap/>
            <w:hideMark/>
          </w:tcPr>
          <w:p w14:paraId="43F73F8D" w14:textId="7F7DCB42" w:rsidR="00BC7043" w:rsidRPr="00BC7043" w:rsidRDefault="00071AB5" w:rsidP="00BC7043">
            <w:pPr>
              <w:spacing w:before="0"/>
              <w:jc w:val="center"/>
              <w:cnfStyle w:val="000000100000" w:firstRow="0" w:lastRow="0" w:firstColumn="0" w:lastColumn="0" w:oddVBand="0" w:evenVBand="0" w:oddHBand="1" w:evenHBand="0" w:firstRowFirstColumn="0" w:firstRowLastColumn="0" w:lastRowFirstColumn="0" w:lastRowLastColumn="0"/>
              <w:rPr>
                <w:rFonts w:eastAsiaTheme="minorHAnsi"/>
                <w:kern w:val="2"/>
                <w:szCs w:val="22"/>
                <w14:ligatures w14:val="standardContextual"/>
              </w:rPr>
            </w:pPr>
            <w:r>
              <w:rPr>
                <w:rFonts w:eastAsiaTheme="minorHAnsi"/>
                <w:kern w:val="2"/>
                <w:szCs w:val="22"/>
                <w14:ligatures w14:val="standardContextual"/>
              </w:rPr>
              <w:t>51.8%</w:t>
            </w:r>
          </w:p>
        </w:tc>
        <w:tc>
          <w:tcPr>
            <w:tcW w:w="1134" w:type="dxa"/>
            <w:tcBorders>
              <w:top w:val="none" w:sz="0" w:space="0" w:color="auto"/>
              <w:bottom w:val="none" w:sz="0" w:space="0" w:color="auto"/>
            </w:tcBorders>
            <w:noWrap/>
            <w:hideMark/>
          </w:tcPr>
          <w:p w14:paraId="6949FD9D" w14:textId="7452B7B3" w:rsidR="00BC7043" w:rsidRPr="00BC7043" w:rsidRDefault="00071AB5" w:rsidP="00BC7043">
            <w:pPr>
              <w:spacing w:before="0"/>
              <w:jc w:val="center"/>
              <w:cnfStyle w:val="000000100000" w:firstRow="0" w:lastRow="0" w:firstColumn="0" w:lastColumn="0" w:oddVBand="0" w:evenVBand="0" w:oddHBand="1" w:evenHBand="0" w:firstRowFirstColumn="0" w:firstRowLastColumn="0" w:lastRowFirstColumn="0" w:lastRowLastColumn="0"/>
              <w:rPr>
                <w:rFonts w:eastAsiaTheme="minorHAnsi"/>
                <w:kern w:val="2"/>
                <w:szCs w:val="22"/>
                <w14:ligatures w14:val="standardContextual"/>
              </w:rPr>
            </w:pPr>
            <w:r>
              <w:rPr>
                <w:rFonts w:eastAsiaTheme="minorHAnsi"/>
                <w:kern w:val="2"/>
                <w:szCs w:val="22"/>
                <w14:ligatures w14:val="standardContextual"/>
              </w:rPr>
              <w:t>-2.6%</w:t>
            </w:r>
          </w:p>
          <w:p w14:paraId="56934D9F" w14:textId="77777777" w:rsidR="00BC7043" w:rsidRPr="00BC7043" w:rsidRDefault="00BC7043" w:rsidP="00BC7043">
            <w:pPr>
              <w:spacing w:before="0"/>
              <w:jc w:val="center"/>
              <w:cnfStyle w:val="000000100000" w:firstRow="0" w:lastRow="0" w:firstColumn="0" w:lastColumn="0" w:oddVBand="0" w:evenVBand="0" w:oddHBand="1" w:evenHBand="0" w:firstRowFirstColumn="0" w:firstRowLastColumn="0" w:lastRowFirstColumn="0" w:lastRowLastColumn="0"/>
              <w:rPr>
                <w:rFonts w:eastAsiaTheme="minorHAnsi"/>
                <w:kern w:val="2"/>
                <w:szCs w:val="22"/>
                <w14:ligatures w14:val="standardContextual"/>
              </w:rPr>
            </w:pPr>
          </w:p>
        </w:tc>
        <w:tc>
          <w:tcPr>
            <w:tcW w:w="1842" w:type="dxa"/>
            <w:tcBorders>
              <w:top w:val="none" w:sz="0" w:space="0" w:color="auto"/>
              <w:bottom w:val="none" w:sz="0" w:space="0" w:color="auto"/>
            </w:tcBorders>
            <w:noWrap/>
          </w:tcPr>
          <w:p w14:paraId="6C15A194" w14:textId="46784687" w:rsidR="00BC7043" w:rsidRPr="00BC7043" w:rsidRDefault="00071AB5" w:rsidP="00BC7043">
            <w:pPr>
              <w:spacing w:before="0"/>
              <w:jc w:val="center"/>
              <w:cnfStyle w:val="000000100000" w:firstRow="0" w:lastRow="0" w:firstColumn="0" w:lastColumn="0" w:oddVBand="0" w:evenVBand="0" w:oddHBand="1" w:evenHBand="0" w:firstRowFirstColumn="0" w:firstRowLastColumn="0" w:lastRowFirstColumn="0" w:lastRowLastColumn="0"/>
              <w:rPr>
                <w:rFonts w:eastAsiaTheme="minorHAnsi"/>
                <w:kern w:val="2"/>
                <w:szCs w:val="22"/>
                <w14:ligatures w14:val="standardContextual"/>
              </w:rPr>
            </w:pPr>
            <w:r>
              <w:rPr>
                <w:rFonts w:eastAsiaTheme="minorHAnsi"/>
                <w:kern w:val="2"/>
                <w:szCs w:val="22"/>
                <w14:ligatures w14:val="standardContextual"/>
              </w:rPr>
              <w:t>-4.6%</w:t>
            </w:r>
          </w:p>
        </w:tc>
        <w:tc>
          <w:tcPr>
            <w:tcW w:w="1985" w:type="dxa"/>
            <w:tcBorders>
              <w:top w:val="none" w:sz="0" w:space="0" w:color="auto"/>
              <w:bottom w:val="none" w:sz="0" w:space="0" w:color="auto"/>
            </w:tcBorders>
            <w:noWrap/>
          </w:tcPr>
          <w:p w14:paraId="14E49C49" w14:textId="0F368E33" w:rsidR="00BC7043" w:rsidRPr="00BC7043" w:rsidRDefault="00071AB5" w:rsidP="00BC7043">
            <w:pPr>
              <w:spacing w:before="0"/>
              <w:jc w:val="center"/>
              <w:cnfStyle w:val="000000100000" w:firstRow="0" w:lastRow="0" w:firstColumn="0" w:lastColumn="0" w:oddVBand="0" w:evenVBand="0" w:oddHBand="1" w:evenHBand="0" w:firstRowFirstColumn="0" w:firstRowLastColumn="0" w:lastRowFirstColumn="0" w:lastRowLastColumn="0"/>
              <w:rPr>
                <w:rFonts w:eastAsiaTheme="minorHAnsi"/>
                <w:kern w:val="2"/>
                <w:szCs w:val="22"/>
                <w14:ligatures w14:val="standardContextual"/>
              </w:rPr>
            </w:pPr>
            <w:r>
              <w:rPr>
                <w:rFonts w:eastAsiaTheme="minorHAnsi"/>
                <w:kern w:val="2"/>
                <w:szCs w:val="22"/>
                <w14:ligatures w14:val="standardContextual"/>
              </w:rPr>
              <w:t>10.7%</w:t>
            </w:r>
          </w:p>
        </w:tc>
        <w:tc>
          <w:tcPr>
            <w:tcW w:w="1417" w:type="dxa"/>
            <w:tcBorders>
              <w:top w:val="none" w:sz="0" w:space="0" w:color="auto"/>
              <w:bottom w:val="none" w:sz="0" w:space="0" w:color="auto"/>
            </w:tcBorders>
            <w:noWrap/>
          </w:tcPr>
          <w:p w14:paraId="214C5731" w14:textId="3AF9F63F" w:rsidR="00BC7043" w:rsidRPr="00BC7043" w:rsidRDefault="00071AB5" w:rsidP="00BC7043">
            <w:pPr>
              <w:spacing w:before="0"/>
              <w:jc w:val="center"/>
              <w:cnfStyle w:val="000000100000" w:firstRow="0" w:lastRow="0" w:firstColumn="0" w:lastColumn="0" w:oddVBand="0" w:evenVBand="0" w:oddHBand="1" w:evenHBand="0" w:firstRowFirstColumn="0" w:firstRowLastColumn="0" w:lastRowFirstColumn="0" w:lastRowLastColumn="0"/>
              <w:rPr>
                <w:rFonts w:eastAsiaTheme="minorHAnsi"/>
                <w:kern w:val="2"/>
                <w:szCs w:val="22"/>
                <w14:ligatures w14:val="standardContextual"/>
              </w:rPr>
            </w:pPr>
            <w:r>
              <w:rPr>
                <w:rFonts w:eastAsiaTheme="minorHAnsi"/>
                <w:kern w:val="2"/>
                <w:szCs w:val="22"/>
                <w14:ligatures w14:val="standardContextual"/>
              </w:rPr>
              <w:t>13.43%</w:t>
            </w:r>
          </w:p>
        </w:tc>
      </w:tr>
      <w:tr w:rsidR="00BC7043" w:rsidRPr="002849F6" w14:paraId="160573DB" w14:textId="77777777" w:rsidTr="00BC7043">
        <w:trPr>
          <w:trHeight w:val="390"/>
        </w:trPr>
        <w:tc>
          <w:tcPr>
            <w:cnfStyle w:val="001000000000" w:firstRow="0" w:lastRow="0" w:firstColumn="1" w:lastColumn="0" w:oddVBand="0" w:evenVBand="0" w:oddHBand="0" w:evenHBand="0" w:firstRowFirstColumn="0" w:firstRowLastColumn="0" w:lastRowFirstColumn="0" w:lastRowLastColumn="0"/>
            <w:tcW w:w="1838" w:type="dxa"/>
            <w:tcBorders>
              <w:right w:val="none" w:sz="0" w:space="0" w:color="auto"/>
            </w:tcBorders>
            <w:noWrap/>
            <w:hideMark/>
          </w:tcPr>
          <w:p w14:paraId="56775497" w14:textId="77777777" w:rsidR="00BC7043" w:rsidRPr="00BC7043" w:rsidRDefault="00BC7043" w:rsidP="00D351D4">
            <w:pPr>
              <w:spacing w:before="0"/>
              <w:rPr>
                <w:rFonts w:eastAsiaTheme="minorHAnsi"/>
                <w:b w:val="0"/>
                <w:bCs w:val="0"/>
                <w:kern w:val="2"/>
                <w:szCs w:val="22"/>
                <w14:ligatures w14:val="standardContextual"/>
              </w:rPr>
            </w:pPr>
            <w:r w:rsidRPr="00BC7043">
              <w:rPr>
                <w:rFonts w:eastAsiaTheme="minorHAnsi"/>
                <w:b w:val="0"/>
                <w:bCs w:val="0"/>
                <w:kern w:val="2"/>
                <w:szCs w:val="22"/>
                <w14:ligatures w14:val="standardContextual"/>
              </w:rPr>
              <w:t>Average GPG by Quartile</w:t>
            </w:r>
          </w:p>
        </w:tc>
        <w:tc>
          <w:tcPr>
            <w:tcW w:w="1418" w:type="dxa"/>
            <w:noWrap/>
            <w:hideMark/>
          </w:tcPr>
          <w:p w14:paraId="3AF5170C" w14:textId="22689FD0" w:rsidR="00BC7043" w:rsidRPr="00BC7043" w:rsidRDefault="00071AB5" w:rsidP="00BC7043">
            <w:pPr>
              <w:spacing w:before="0"/>
              <w:jc w:val="center"/>
              <w:cnfStyle w:val="000000000000" w:firstRow="0" w:lastRow="0" w:firstColumn="0" w:lastColumn="0" w:oddVBand="0" w:evenVBand="0" w:oddHBand="0" w:evenHBand="0" w:firstRowFirstColumn="0" w:firstRowLastColumn="0" w:lastRowFirstColumn="0" w:lastRowLastColumn="0"/>
              <w:rPr>
                <w:rFonts w:eastAsiaTheme="minorHAnsi"/>
                <w:kern w:val="2"/>
                <w:szCs w:val="22"/>
                <w14:ligatures w14:val="standardContextual"/>
              </w:rPr>
            </w:pPr>
            <w:r>
              <w:rPr>
                <w:rFonts w:eastAsiaTheme="minorHAnsi"/>
                <w:kern w:val="2"/>
                <w:szCs w:val="22"/>
                <w14:ligatures w14:val="standardContextual"/>
              </w:rPr>
              <w:t>42.2%</w:t>
            </w:r>
          </w:p>
        </w:tc>
        <w:tc>
          <w:tcPr>
            <w:tcW w:w="1134" w:type="dxa"/>
            <w:noWrap/>
            <w:hideMark/>
          </w:tcPr>
          <w:p w14:paraId="6781FA4E" w14:textId="22C7A8A2" w:rsidR="00BC7043" w:rsidRPr="00BC7043" w:rsidRDefault="00071AB5" w:rsidP="00BC7043">
            <w:pPr>
              <w:spacing w:before="0"/>
              <w:jc w:val="center"/>
              <w:cnfStyle w:val="000000000000" w:firstRow="0" w:lastRow="0" w:firstColumn="0" w:lastColumn="0" w:oddVBand="0" w:evenVBand="0" w:oddHBand="0" w:evenHBand="0" w:firstRowFirstColumn="0" w:firstRowLastColumn="0" w:lastRowFirstColumn="0" w:lastRowLastColumn="0"/>
              <w:rPr>
                <w:rFonts w:eastAsiaTheme="minorHAnsi"/>
                <w:kern w:val="2"/>
                <w:szCs w:val="22"/>
                <w14:ligatures w14:val="standardContextual"/>
              </w:rPr>
            </w:pPr>
            <w:r>
              <w:rPr>
                <w:rFonts w:eastAsiaTheme="minorHAnsi"/>
                <w:kern w:val="2"/>
                <w:szCs w:val="22"/>
                <w14:ligatures w14:val="standardContextual"/>
              </w:rPr>
              <w:t>-0.2%</w:t>
            </w:r>
          </w:p>
        </w:tc>
        <w:tc>
          <w:tcPr>
            <w:tcW w:w="1842" w:type="dxa"/>
            <w:noWrap/>
          </w:tcPr>
          <w:p w14:paraId="006C5F1A" w14:textId="609D1FEC" w:rsidR="00BC7043" w:rsidRPr="00BC7043" w:rsidRDefault="00071AB5" w:rsidP="00BC7043">
            <w:pPr>
              <w:spacing w:before="0"/>
              <w:jc w:val="center"/>
              <w:cnfStyle w:val="000000000000" w:firstRow="0" w:lastRow="0" w:firstColumn="0" w:lastColumn="0" w:oddVBand="0" w:evenVBand="0" w:oddHBand="0" w:evenHBand="0" w:firstRowFirstColumn="0" w:firstRowLastColumn="0" w:lastRowFirstColumn="0" w:lastRowLastColumn="0"/>
              <w:rPr>
                <w:rFonts w:eastAsiaTheme="minorHAnsi"/>
                <w:kern w:val="2"/>
                <w:szCs w:val="22"/>
                <w14:ligatures w14:val="standardContextual"/>
              </w:rPr>
            </w:pPr>
            <w:r>
              <w:rPr>
                <w:rFonts w:eastAsiaTheme="minorHAnsi"/>
                <w:kern w:val="2"/>
                <w:szCs w:val="22"/>
                <w14:ligatures w14:val="standardContextual"/>
              </w:rPr>
              <w:t>-2.5%</w:t>
            </w:r>
          </w:p>
        </w:tc>
        <w:tc>
          <w:tcPr>
            <w:tcW w:w="1985" w:type="dxa"/>
            <w:noWrap/>
          </w:tcPr>
          <w:p w14:paraId="588916FA" w14:textId="06DE8F1C" w:rsidR="00BC7043" w:rsidRPr="00BC7043" w:rsidRDefault="00071AB5" w:rsidP="00BC7043">
            <w:pPr>
              <w:spacing w:before="0"/>
              <w:jc w:val="center"/>
              <w:cnfStyle w:val="000000000000" w:firstRow="0" w:lastRow="0" w:firstColumn="0" w:lastColumn="0" w:oddVBand="0" w:evenVBand="0" w:oddHBand="0" w:evenHBand="0" w:firstRowFirstColumn="0" w:firstRowLastColumn="0" w:lastRowFirstColumn="0" w:lastRowLastColumn="0"/>
              <w:rPr>
                <w:rFonts w:eastAsiaTheme="minorHAnsi"/>
                <w:kern w:val="2"/>
                <w:szCs w:val="22"/>
                <w14:ligatures w14:val="standardContextual"/>
              </w:rPr>
            </w:pPr>
            <w:r>
              <w:rPr>
                <w:rFonts w:eastAsiaTheme="minorHAnsi"/>
                <w:kern w:val="2"/>
                <w:szCs w:val="22"/>
                <w14:ligatures w14:val="standardContextual"/>
              </w:rPr>
              <w:t>9.1%</w:t>
            </w:r>
          </w:p>
        </w:tc>
        <w:tc>
          <w:tcPr>
            <w:tcW w:w="1417" w:type="dxa"/>
            <w:noWrap/>
          </w:tcPr>
          <w:p w14:paraId="1E4346F2" w14:textId="2324C7A4" w:rsidR="00BC7043" w:rsidRPr="00BC7043" w:rsidRDefault="00071AB5" w:rsidP="00BC7043">
            <w:pPr>
              <w:spacing w:before="0"/>
              <w:jc w:val="center"/>
              <w:cnfStyle w:val="000000000000" w:firstRow="0" w:lastRow="0" w:firstColumn="0" w:lastColumn="0" w:oddVBand="0" w:evenVBand="0" w:oddHBand="0" w:evenHBand="0" w:firstRowFirstColumn="0" w:firstRowLastColumn="0" w:lastRowFirstColumn="0" w:lastRowLastColumn="0"/>
              <w:rPr>
                <w:rFonts w:eastAsiaTheme="minorHAnsi"/>
                <w:kern w:val="2"/>
                <w:szCs w:val="22"/>
                <w14:ligatures w14:val="standardContextual"/>
              </w:rPr>
            </w:pPr>
            <w:r>
              <w:rPr>
                <w:rFonts w:eastAsiaTheme="minorHAnsi"/>
                <w:kern w:val="2"/>
                <w:szCs w:val="22"/>
                <w14:ligatures w14:val="standardContextual"/>
              </w:rPr>
              <w:t>8.2%</w:t>
            </w:r>
          </w:p>
        </w:tc>
      </w:tr>
    </w:tbl>
    <w:p w14:paraId="573D0FC6" w14:textId="77777777" w:rsidR="00BC7043" w:rsidRDefault="00BC7043" w:rsidP="006C4DDD">
      <w:pPr>
        <w:rPr>
          <w:b/>
        </w:rPr>
      </w:pPr>
    </w:p>
    <w:p w14:paraId="4D67EA43" w14:textId="77777777" w:rsidR="005943F5" w:rsidRDefault="005943F5" w:rsidP="005943F5">
      <w:r>
        <w:t xml:space="preserve">This data highlights the gender pay gap in the Upper Middle and Upper quartiles </w:t>
      </w:r>
      <w:proofErr w:type="gramStart"/>
      <w:r>
        <w:t>and also</w:t>
      </w:r>
      <w:proofErr w:type="gramEnd"/>
      <w:r>
        <w:t xml:space="preserve"> reflects the impact of the gender profile in the Lower and Lower Middle ranges (both at 80%+ Female). </w:t>
      </w:r>
    </w:p>
    <w:p w14:paraId="31404BF6" w14:textId="77777777" w:rsidR="005943F5" w:rsidRDefault="005943F5" w:rsidP="005943F5">
      <w:pPr>
        <w:rPr>
          <w:sz w:val="22"/>
        </w:rPr>
      </w:pPr>
    </w:p>
    <w:p w14:paraId="2692E5A8" w14:textId="77777777" w:rsidR="005943F5" w:rsidRDefault="005943F5" w:rsidP="005943F5">
      <w:r w:rsidRPr="002D49C0">
        <w:lastRenderedPageBreak/>
        <w:t>Negative percentages reflect where female colleagues are paid more than male colleagues</w:t>
      </w:r>
      <w:r>
        <w:t xml:space="preserve"> within those quartiles (e.g. Lower Quartile and Lower Middle Quartile), based on the average and median data captured.</w:t>
      </w:r>
      <w:r w:rsidRPr="002D49C0">
        <w:t xml:space="preserve"> </w:t>
      </w:r>
    </w:p>
    <w:p w14:paraId="73ACB1FE" w14:textId="3A613969" w:rsidR="005943F5" w:rsidRDefault="005943F5" w:rsidP="005943F5"/>
    <w:p w14:paraId="3C5568E1" w14:textId="2D131096" w:rsidR="0043076B" w:rsidRDefault="0043076B" w:rsidP="0043076B">
      <w:pPr>
        <w:pStyle w:val="Heading2"/>
        <w:rPr>
          <w:noProof/>
          <w:lang w:eastAsia="en-GB"/>
        </w:rPr>
      </w:pPr>
      <w:bookmarkStart w:id="8" w:name="_Toc153295145"/>
      <w:bookmarkStart w:id="9" w:name="_Toc222745655"/>
      <w:r>
        <w:rPr>
          <w:noProof/>
          <w:lang w:eastAsia="en-GB"/>
        </w:rPr>
        <w:t>Gender Pay gap – bonus payments in the 12 months to 5 April 202</w:t>
      </w:r>
      <w:r w:rsidR="00156721">
        <w:rPr>
          <w:noProof/>
          <w:lang w:eastAsia="en-GB"/>
        </w:rPr>
        <w:t>5</w:t>
      </w:r>
      <w:bookmarkEnd w:id="8"/>
      <w:bookmarkEnd w:id="9"/>
    </w:p>
    <w:p w14:paraId="724717F1" w14:textId="77777777" w:rsidR="005943F5" w:rsidRPr="002D49C0" w:rsidRDefault="005943F5" w:rsidP="005943F5"/>
    <w:p w14:paraId="0CFFFA50" w14:textId="6B237636" w:rsidR="00AF1D1D" w:rsidRDefault="00AF1D1D" w:rsidP="00AF1D1D">
      <w:pPr>
        <w:rPr>
          <w:lang w:eastAsia="en-GB"/>
        </w:rPr>
      </w:pPr>
      <w:r>
        <w:rPr>
          <w:lang w:eastAsia="en-GB"/>
        </w:rPr>
        <w:t>Table 4 shows the average and median bonus pay gap for the 12-month period to April 202</w:t>
      </w:r>
      <w:r w:rsidR="00156721">
        <w:rPr>
          <w:lang w:eastAsia="en-GB"/>
        </w:rPr>
        <w:t>5</w:t>
      </w:r>
      <w:r>
        <w:rPr>
          <w:lang w:eastAsia="en-GB"/>
        </w:rPr>
        <w:t xml:space="preserve">. Some of the bonus payments included in the data set were paid to staff acquired following business acquisitions and are payable under contractual arrangements within this period. </w:t>
      </w:r>
    </w:p>
    <w:p w14:paraId="0BA7E2AC" w14:textId="77777777" w:rsidR="00DA5B71" w:rsidRDefault="00DA5B71" w:rsidP="006C4DDD">
      <w:pPr>
        <w:rPr>
          <w:b/>
        </w:rPr>
      </w:pPr>
    </w:p>
    <w:p w14:paraId="083D7A2C" w14:textId="2524B993" w:rsidR="00BC7043" w:rsidRPr="00B066BA" w:rsidRDefault="00AF1D1D" w:rsidP="00B066BA">
      <w:pPr>
        <w:pStyle w:val="Heading3"/>
      </w:pPr>
      <w:bookmarkStart w:id="10" w:name="_Toc222745656"/>
      <w:r w:rsidRPr="00B066BA">
        <w:t xml:space="preserve">Table 4: The data for bonus payments: Bonus gender </w:t>
      </w:r>
      <w:proofErr w:type="gramStart"/>
      <w:r w:rsidRPr="00B066BA">
        <w:t>pay</w:t>
      </w:r>
      <w:proofErr w:type="gramEnd"/>
      <w:r w:rsidRPr="00B066BA">
        <w:t xml:space="preserve"> gap (average and median)</w:t>
      </w:r>
      <w:bookmarkEnd w:id="10"/>
    </w:p>
    <w:tbl>
      <w:tblPr>
        <w:tblStyle w:val="ListTable4-Accent6"/>
        <w:tblpPr w:leftFromText="180" w:rightFromText="180" w:vertAnchor="text" w:horzAnchor="margin" w:tblpY="143"/>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2313"/>
        <w:gridCol w:w="2067"/>
      </w:tblGrid>
      <w:tr w:rsidR="00346F2E" w:rsidRPr="00346F2E" w14:paraId="3DB7543E" w14:textId="77777777" w:rsidTr="00346F2E">
        <w:trPr>
          <w:cnfStyle w:val="100000000000" w:firstRow="1" w:lastRow="0" w:firstColumn="0" w:lastColumn="0" w:oddVBand="0" w:evenVBand="0" w:oddHBand="0"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4704" w:type="dxa"/>
            <w:tcBorders>
              <w:top w:val="none" w:sz="0" w:space="0" w:color="auto"/>
              <w:left w:val="none" w:sz="0" w:space="0" w:color="auto"/>
              <w:bottom w:val="none" w:sz="0" w:space="0" w:color="auto"/>
            </w:tcBorders>
            <w:shd w:val="clear" w:color="auto" w:fill="808080" w:themeFill="background1" w:themeFillShade="80"/>
            <w:noWrap/>
            <w:hideMark/>
          </w:tcPr>
          <w:p w14:paraId="15993D94" w14:textId="77777777" w:rsidR="00346F2E" w:rsidRPr="00346F2E" w:rsidRDefault="00346F2E" w:rsidP="00346F2E">
            <w:pPr>
              <w:spacing w:before="0"/>
              <w:rPr>
                <w:rFonts w:eastAsiaTheme="minorHAnsi"/>
                <w:color w:val="auto"/>
                <w:kern w:val="2"/>
                <w:szCs w:val="22"/>
                <w14:ligatures w14:val="standardContextual"/>
              </w:rPr>
            </w:pPr>
            <w:r w:rsidRPr="00346F2E">
              <w:rPr>
                <w:rFonts w:eastAsiaTheme="minorHAnsi"/>
                <w:color w:val="auto"/>
                <w:kern w:val="2"/>
                <w:szCs w:val="22"/>
                <w14:ligatures w14:val="standardContextual"/>
              </w:rPr>
              <w:t>Pay</w:t>
            </w:r>
          </w:p>
        </w:tc>
        <w:tc>
          <w:tcPr>
            <w:tcW w:w="2313" w:type="dxa"/>
            <w:tcBorders>
              <w:top w:val="none" w:sz="0" w:space="0" w:color="auto"/>
              <w:bottom w:val="none" w:sz="0" w:space="0" w:color="auto"/>
            </w:tcBorders>
            <w:shd w:val="clear" w:color="auto" w:fill="808080" w:themeFill="background1" w:themeFillShade="80"/>
          </w:tcPr>
          <w:p w14:paraId="32DC0B24" w14:textId="77777777" w:rsidR="00346F2E" w:rsidRPr="00346F2E" w:rsidRDefault="00346F2E" w:rsidP="00FC14EB">
            <w:pPr>
              <w:spacing w:before="0"/>
              <w:jc w:val="center"/>
              <w:cnfStyle w:val="100000000000" w:firstRow="1" w:lastRow="0" w:firstColumn="0" w:lastColumn="0" w:oddVBand="0" w:evenVBand="0" w:oddHBand="0" w:evenHBand="0" w:firstRowFirstColumn="0" w:firstRowLastColumn="0" w:lastRowFirstColumn="0" w:lastRowLastColumn="0"/>
              <w:rPr>
                <w:rFonts w:eastAsiaTheme="minorHAnsi"/>
                <w:color w:val="auto"/>
                <w:kern w:val="2"/>
                <w:szCs w:val="22"/>
                <w14:ligatures w14:val="standardContextual"/>
              </w:rPr>
            </w:pPr>
            <w:r w:rsidRPr="00346F2E">
              <w:rPr>
                <w:rFonts w:eastAsiaTheme="minorHAnsi"/>
                <w:color w:val="auto"/>
                <w:kern w:val="2"/>
                <w:szCs w:val="22"/>
                <w14:ligatures w14:val="standardContextual"/>
              </w:rPr>
              <w:t>Mean</w:t>
            </w:r>
          </w:p>
        </w:tc>
        <w:tc>
          <w:tcPr>
            <w:tcW w:w="2067" w:type="dxa"/>
            <w:tcBorders>
              <w:top w:val="none" w:sz="0" w:space="0" w:color="auto"/>
              <w:bottom w:val="none" w:sz="0" w:space="0" w:color="auto"/>
              <w:right w:val="none" w:sz="0" w:space="0" w:color="auto"/>
            </w:tcBorders>
            <w:shd w:val="clear" w:color="auto" w:fill="808080" w:themeFill="background1" w:themeFillShade="80"/>
            <w:noWrap/>
            <w:hideMark/>
          </w:tcPr>
          <w:p w14:paraId="3EA43CA5" w14:textId="77777777" w:rsidR="00346F2E" w:rsidRPr="00346F2E" w:rsidRDefault="00346F2E" w:rsidP="00FC14EB">
            <w:pPr>
              <w:spacing w:before="0"/>
              <w:jc w:val="center"/>
              <w:cnfStyle w:val="100000000000" w:firstRow="1" w:lastRow="0" w:firstColumn="0" w:lastColumn="0" w:oddVBand="0" w:evenVBand="0" w:oddHBand="0" w:evenHBand="0" w:firstRowFirstColumn="0" w:firstRowLastColumn="0" w:lastRowFirstColumn="0" w:lastRowLastColumn="0"/>
              <w:rPr>
                <w:rFonts w:eastAsiaTheme="minorHAnsi"/>
                <w:color w:val="auto"/>
                <w:kern w:val="2"/>
                <w:szCs w:val="22"/>
                <w14:ligatures w14:val="standardContextual"/>
              </w:rPr>
            </w:pPr>
            <w:r w:rsidRPr="00346F2E">
              <w:rPr>
                <w:rFonts w:eastAsiaTheme="minorHAnsi"/>
                <w:color w:val="auto"/>
                <w:kern w:val="2"/>
                <w:szCs w:val="22"/>
                <w14:ligatures w14:val="standardContextual"/>
              </w:rPr>
              <w:t>Median</w:t>
            </w:r>
          </w:p>
        </w:tc>
      </w:tr>
      <w:tr w:rsidR="00346F2E" w:rsidRPr="00A53F2B" w14:paraId="7EE24191" w14:textId="77777777" w:rsidTr="00346F2E">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704" w:type="dxa"/>
            <w:shd w:val="clear" w:color="auto" w:fill="FFFFFF" w:themeFill="background1"/>
            <w:noWrap/>
            <w:hideMark/>
          </w:tcPr>
          <w:p w14:paraId="3D27A13F" w14:textId="77777777" w:rsidR="00346F2E" w:rsidRPr="00346F2E" w:rsidRDefault="00346F2E" w:rsidP="00346F2E">
            <w:pPr>
              <w:spacing w:before="0"/>
              <w:rPr>
                <w:rFonts w:eastAsiaTheme="minorHAnsi"/>
                <w:b w:val="0"/>
                <w:bCs w:val="0"/>
                <w:kern w:val="2"/>
                <w:szCs w:val="22"/>
                <w14:ligatures w14:val="standardContextual"/>
              </w:rPr>
            </w:pPr>
            <w:r w:rsidRPr="00346F2E">
              <w:rPr>
                <w:rFonts w:eastAsiaTheme="minorHAnsi"/>
                <w:b w:val="0"/>
                <w:bCs w:val="0"/>
                <w:kern w:val="2"/>
                <w:szCs w:val="22"/>
                <w14:ligatures w14:val="standardContextual"/>
              </w:rPr>
              <w:t>Bonus</w:t>
            </w:r>
          </w:p>
        </w:tc>
        <w:tc>
          <w:tcPr>
            <w:tcW w:w="2313" w:type="dxa"/>
            <w:shd w:val="clear" w:color="auto" w:fill="FFFFFF" w:themeFill="background1"/>
          </w:tcPr>
          <w:p w14:paraId="23861B48" w14:textId="550BA755" w:rsidR="00346F2E" w:rsidRPr="00346F2E" w:rsidRDefault="00071AB5" w:rsidP="00FC14EB">
            <w:pPr>
              <w:spacing w:before="0"/>
              <w:jc w:val="center"/>
              <w:cnfStyle w:val="000000100000" w:firstRow="0" w:lastRow="0" w:firstColumn="0" w:lastColumn="0" w:oddVBand="0" w:evenVBand="0" w:oddHBand="1" w:evenHBand="0" w:firstRowFirstColumn="0" w:firstRowLastColumn="0" w:lastRowFirstColumn="0" w:lastRowLastColumn="0"/>
              <w:rPr>
                <w:rFonts w:eastAsiaTheme="minorHAnsi"/>
                <w:kern w:val="2"/>
                <w:szCs w:val="22"/>
                <w14:ligatures w14:val="standardContextual"/>
              </w:rPr>
            </w:pPr>
            <w:r>
              <w:rPr>
                <w:rFonts w:eastAsiaTheme="minorHAnsi"/>
                <w:kern w:val="2"/>
                <w:szCs w:val="22"/>
                <w14:ligatures w14:val="standardContextual"/>
              </w:rPr>
              <w:t>48%</w:t>
            </w:r>
          </w:p>
        </w:tc>
        <w:tc>
          <w:tcPr>
            <w:tcW w:w="2067" w:type="dxa"/>
            <w:shd w:val="clear" w:color="auto" w:fill="FFFFFF" w:themeFill="background1"/>
            <w:noWrap/>
            <w:hideMark/>
          </w:tcPr>
          <w:p w14:paraId="6AD16A27" w14:textId="3B1F5008" w:rsidR="00346F2E" w:rsidRPr="00346F2E" w:rsidRDefault="00071AB5" w:rsidP="00FC14EB">
            <w:pPr>
              <w:spacing w:before="0"/>
              <w:jc w:val="center"/>
              <w:cnfStyle w:val="000000100000" w:firstRow="0" w:lastRow="0" w:firstColumn="0" w:lastColumn="0" w:oddVBand="0" w:evenVBand="0" w:oddHBand="1" w:evenHBand="0" w:firstRowFirstColumn="0" w:firstRowLastColumn="0" w:lastRowFirstColumn="0" w:lastRowLastColumn="0"/>
              <w:rPr>
                <w:rFonts w:eastAsiaTheme="minorHAnsi"/>
                <w:kern w:val="2"/>
                <w:szCs w:val="22"/>
                <w14:ligatures w14:val="standardContextual"/>
              </w:rPr>
            </w:pPr>
            <w:r>
              <w:rPr>
                <w:rFonts w:eastAsiaTheme="minorHAnsi"/>
                <w:kern w:val="2"/>
                <w:szCs w:val="22"/>
                <w14:ligatures w14:val="standardContextual"/>
              </w:rPr>
              <w:t>21%</w:t>
            </w:r>
          </w:p>
        </w:tc>
      </w:tr>
    </w:tbl>
    <w:p w14:paraId="078A0939" w14:textId="77777777" w:rsidR="007F324C" w:rsidRDefault="007F324C" w:rsidP="007F324C">
      <w:pPr>
        <w:rPr>
          <w:rFonts w:ascii="Calibri" w:eastAsia="Times New Roman" w:hAnsi="Calibri" w:cs="Calibri"/>
          <w:color w:val="000000"/>
          <w:lang w:eastAsia="en-GB"/>
        </w:rPr>
      </w:pPr>
    </w:p>
    <w:p w14:paraId="501D44C2" w14:textId="77777777" w:rsidR="007F324C" w:rsidRDefault="007F324C" w:rsidP="007F324C">
      <w:pPr>
        <w:rPr>
          <w:rFonts w:ascii="Calibri" w:eastAsia="Times New Roman" w:hAnsi="Calibri" w:cs="Calibri"/>
          <w:color w:val="000000"/>
          <w:lang w:eastAsia="en-GB"/>
        </w:rPr>
      </w:pPr>
    </w:p>
    <w:p w14:paraId="757766EF" w14:textId="77777777" w:rsidR="007F324C" w:rsidRDefault="007F324C" w:rsidP="007F324C">
      <w:pPr>
        <w:rPr>
          <w:rFonts w:ascii="Calibri" w:eastAsia="Times New Roman" w:hAnsi="Calibri" w:cs="Calibri"/>
          <w:color w:val="000000"/>
          <w:lang w:eastAsia="en-GB"/>
        </w:rPr>
      </w:pPr>
    </w:p>
    <w:p w14:paraId="21BB0E21" w14:textId="77777777" w:rsidR="007F324C" w:rsidRDefault="007F324C" w:rsidP="007F324C">
      <w:pPr>
        <w:rPr>
          <w:rFonts w:ascii="Calibri" w:eastAsia="Times New Roman" w:hAnsi="Calibri" w:cs="Calibri"/>
          <w:color w:val="000000"/>
          <w:lang w:eastAsia="en-GB"/>
        </w:rPr>
      </w:pPr>
    </w:p>
    <w:p w14:paraId="1B699A28" w14:textId="77777777" w:rsidR="007F324C" w:rsidRDefault="007F324C" w:rsidP="007F324C">
      <w:pPr>
        <w:rPr>
          <w:rFonts w:ascii="Calibri" w:eastAsia="Times New Roman" w:hAnsi="Calibri" w:cs="Calibri"/>
          <w:color w:val="000000"/>
          <w:lang w:eastAsia="en-GB"/>
        </w:rPr>
      </w:pPr>
    </w:p>
    <w:p w14:paraId="4BB8B2F1" w14:textId="6689B939" w:rsidR="007F324C" w:rsidRDefault="00071AB5" w:rsidP="007F324C">
      <w:pPr>
        <w:rPr>
          <w:lang w:eastAsia="en-GB"/>
        </w:rPr>
      </w:pPr>
      <w:r>
        <w:rPr>
          <w:lang w:eastAsia="en-GB"/>
        </w:rPr>
        <w:t>62%</w:t>
      </w:r>
      <w:r w:rsidR="007F324C">
        <w:rPr>
          <w:lang w:eastAsia="en-GB"/>
        </w:rPr>
        <w:t xml:space="preserve"> of females and </w:t>
      </w:r>
      <w:r>
        <w:rPr>
          <w:lang w:eastAsia="en-GB"/>
        </w:rPr>
        <w:t>67</w:t>
      </w:r>
      <w:r w:rsidR="007F324C">
        <w:rPr>
          <w:lang w:eastAsia="en-GB"/>
        </w:rPr>
        <w:t>% of males received a bonus payment in the 12-month period up to April 202</w:t>
      </w:r>
      <w:r w:rsidR="00156721">
        <w:rPr>
          <w:lang w:eastAsia="en-GB"/>
        </w:rPr>
        <w:t>5</w:t>
      </w:r>
      <w:r w:rsidR="007F324C">
        <w:rPr>
          <w:lang w:eastAsia="en-GB"/>
        </w:rPr>
        <w:t xml:space="preserve">.  </w:t>
      </w:r>
      <w:r w:rsidR="00091218">
        <w:rPr>
          <w:lang w:eastAsia="en-GB"/>
        </w:rPr>
        <w:br/>
      </w:r>
    </w:p>
    <w:p w14:paraId="5DA92552" w14:textId="09124FC3" w:rsidR="007F324C" w:rsidRDefault="007F324C" w:rsidP="007F324C">
      <w:pPr>
        <w:pStyle w:val="Heading2"/>
        <w:rPr>
          <w:lang w:eastAsia="en-GB"/>
        </w:rPr>
      </w:pPr>
      <w:bookmarkStart w:id="11" w:name="_Toc222745657"/>
      <w:r>
        <w:rPr>
          <w:lang w:eastAsia="en-GB"/>
        </w:rPr>
        <w:t>How are we addressing the gap?</w:t>
      </w:r>
      <w:bookmarkEnd w:id="11"/>
    </w:p>
    <w:p w14:paraId="659A634D" w14:textId="77777777" w:rsidR="007F324C" w:rsidRPr="007F324C" w:rsidRDefault="007F324C" w:rsidP="007F324C">
      <w:pPr>
        <w:rPr>
          <w:lang w:eastAsia="en-GB"/>
        </w:rPr>
      </w:pPr>
    </w:p>
    <w:p w14:paraId="16A01DDD" w14:textId="7BD705E9" w:rsidR="0086198E" w:rsidRDefault="0086198E" w:rsidP="0086198E">
      <w:r>
        <w:t>Murgitroyd is committed to creating and maintaining a truly equal, diverse and inclusive work environment, where everyone has an opportunity to achieve success and realise their potential.  We continue to address a range of activities across the organisation, involving recruitment, development and daily leadership actions.</w:t>
      </w:r>
    </w:p>
    <w:p w14:paraId="4B3D4361" w14:textId="77777777" w:rsidR="0086198E" w:rsidRDefault="0086198E" w:rsidP="0086198E"/>
    <w:p w14:paraId="359C1BEB" w14:textId="64CDB089" w:rsidR="0086198E" w:rsidRDefault="0086198E" w:rsidP="0086198E">
      <w:r>
        <w:t xml:space="preserve">The </w:t>
      </w:r>
      <w:r w:rsidR="00A74772">
        <w:t>business continues to evolve in line with changing client demand and the influence and advancement of new technologies.</w:t>
      </w:r>
      <w:r>
        <w:t xml:space="preserve"> </w:t>
      </w:r>
      <w:r w:rsidR="00A74772">
        <w:t>That said, we remain focused on our ESG strategies including the development and advancement of a diverse range of talent through the organisation.</w:t>
      </w:r>
      <w:r>
        <w:t xml:space="preserve"> </w:t>
      </w:r>
      <w:r w:rsidR="00A74772">
        <w:t xml:space="preserve">Against this backdrop we continue to review and develop our reward strategy and do so with an eye to equality and diversity. </w:t>
      </w:r>
      <w:r>
        <w:t xml:space="preserve"> Our performance and career development framework (myFocus) has been fully rolled out and supports performance reviews</w:t>
      </w:r>
      <w:r w:rsidR="00A74772">
        <w:t>,</w:t>
      </w:r>
      <w:r>
        <w:t xml:space="preserve"> career development and personal development conversations at all levels</w:t>
      </w:r>
      <w:r w:rsidR="00513096">
        <w:t xml:space="preserve"> and across all disciplines.</w:t>
      </w:r>
    </w:p>
    <w:p w14:paraId="17A66DCC" w14:textId="19077B02" w:rsidR="0086198E" w:rsidRDefault="0086198E" w:rsidP="0086198E"/>
    <w:p w14:paraId="77243017" w14:textId="77777777" w:rsidR="00513096" w:rsidRDefault="0086198E" w:rsidP="0086198E">
      <w:proofErr w:type="gramStart"/>
      <w:r>
        <w:t>A number of</w:t>
      </w:r>
      <w:proofErr w:type="gramEnd"/>
      <w:r>
        <w:t xml:space="preserve"> improvements across a range of organisational development practices have also been implemented including the development of the Attorney Career Progression Framework, </w:t>
      </w:r>
      <w:r w:rsidR="00513096">
        <w:t>the</w:t>
      </w:r>
      <w:r>
        <w:t xml:space="preserve"> implementation of a Management Essentials programme for all line managers and a dedicated training manual for Patent Scientists) with much of the implementation of this work informed by consultation with colleagues across the company.</w:t>
      </w:r>
    </w:p>
    <w:p w14:paraId="18A860D1" w14:textId="77777777" w:rsidR="0086198E" w:rsidRDefault="0086198E" w:rsidP="0086198E"/>
    <w:p w14:paraId="28CDD736" w14:textId="27121E42" w:rsidR="0086198E" w:rsidRDefault="0086198E" w:rsidP="0086198E">
      <w:r>
        <w:t xml:space="preserve">We </w:t>
      </w:r>
      <w:r w:rsidR="00513096">
        <w:t xml:space="preserve">also </w:t>
      </w:r>
      <w:r>
        <w:t>recognise that improved policies, as well as practices, are crucial to removing barriers in the workplace, particularly for women.  We are strongly supportive of hybrid and flexible working and are committed to optimising new ways of working that advance equality, diversity and inclusion. Our Values and Behaviours Framework</w:t>
      </w:r>
      <w:r w:rsidR="00513096">
        <w:t xml:space="preserve"> reinforce</w:t>
      </w:r>
      <w:r>
        <w:t xml:space="preserve"> the values and behaviours that make Murgitroyd a more equal, diverse and inclusive organisation. </w:t>
      </w:r>
    </w:p>
    <w:p w14:paraId="2CA871EA" w14:textId="77777777" w:rsidR="0086198E" w:rsidRDefault="0086198E" w:rsidP="0086198E"/>
    <w:p w14:paraId="282F1DA3" w14:textId="08B50936" w:rsidR="0086198E" w:rsidRDefault="0086198E" w:rsidP="0086198E">
      <w:pPr>
        <w:rPr>
          <w:rFonts w:cstheme="minorHAnsi"/>
        </w:rPr>
      </w:pPr>
      <w:r w:rsidRPr="0009685B">
        <w:rPr>
          <w:rFonts w:cstheme="minorHAnsi"/>
        </w:rPr>
        <w:lastRenderedPageBreak/>
        <w:t xml:space="preserve">As we </w:t>
      </w:r>
      <w:r>
        <w:rPr>
          <w:rFonts w:cstheme="minorHAnsi"/>
        </w:rPr>
        <w:t>move forward,</w:t>
      </w:r>
      <w:r w:rsidRPr="0009685B" w:rsidDel="0092636B">
        <w:rPr>
          <w:rFonts w:cstheme="minorHAnsi"/>
        </w:rPr>
        <w:t xml:space="preserve"> </w:t>
      </w:r>
      <w:r w:rsidRPr="0009685B">
        <w:rPr>
          <w:rFonts w:cstheme="minorHAnsi"/>
        </w:rPr>
        <w:t>we must ensure that opportunit</w:t>
      </w:r>
      <w:r>
        <w:rPr>
          <w:rFonts w:cstheme="minorHAnsi"/>
        </w:rPr>
        <w:t>ies</w:t>
      </w:r>
      <w:r w:rsidRPr="0009685B">
        <w:rPr>
          <w:rFonts w:cstheme="minorHAnsi"/>
        </w:rPr>
        <w:t xml:space="preserve"> for progression </w:t>
      </w:r>
      <w:r>
        <w:rPr>
          <w:rFonts w:cstheme="minorHAnsi"/>
        </w:rPr>
        <w:t>are</w:t>
      </w:r>
      <w:r w:rsidRPr="0009685B">
        <w:rPr>
          <w:rFonts w:cstheme="minorHAnsi"/>
        </w:rPr>
        <w:t xml:space="preserve"> equitable and that all avenues are explored to encourage and support female colleagues to </w:t>
      </w:r>
      <w:r w:rsidR="00513096">
        <w:rPr>
          <w:rFonts w:cstheme="minorHAnsi"/>
        </w:rPr>
        <w:t xml:space="preserve">come into the business and </w:t>
      </w:r>
      <w:r w:rsidRPr="0009685B">
        <w:rPr>
          <w:rFonts w:cstheme="minorHAnsi"/>
        </w:rPr>
        <w:t xml:space="preserve">progress </w:t>
      </w:r>
      <w:r>
        <w:rPr>
          <w:rFonts w:cstheme="minorHAnsi"/>
        </w:rPr>
        <w:t xml:space="preserve">through </w:t>
      </w:r>
      <w:r w:rsidRPr="0009685B">
        <w:rPr>
          <w:rFonts w:cstheme="minorHAnsi"/>
        </w:rPr>
        <w:t xml:space="preserve">into </w:t>
      </w:r>
      <w:r>
        <w:rPr>
          <w:rFonts w:cstheme="minorHAnsi"/>
        </w:rPr>
        <w:t xml:space="preserve">more senior roles across Murgitroyd. </w:t>
      </w:r>
    </w:p>
    <w:p w14:paraId="7828BF27" w14:textId="77777777" w:rsidR="0086198E" w:rsidRDefault="0086198E" w:rsidP="0086198E">
      <w:pPr>
        <w:rPr>
          <w:rFonts w:cstheme="minorHAnsi"/>
        </w:rPr>
      </w:pPr>
    </w:p>
    <w:p w14:paraId="10EB679B" w14:textId="1E5CAD1F" w:rsidR="00513096" w:rsidRDefault="00513096" w:rsidP="00513096">
      <w:r>
        <w:t xml:space="preserve">As an example for the last two </w:t>
      </w:r>
      <w:r w:rsidR="005F7361">
        <w:t>years,</w:t>
      </w:r>
      <w:r>
        <w:t xml:space="preserve"> we have led an initiative to facilitate a pathway into the profession for graduates across a more diverse socio-economic spectrum. </w:t>
      </w:r>
      <w:r w:rsidR="008A553D" w:rsidRPr="008A553D">
        <w:t>Our European Patent Pipeline Programme (EPPP) has provided talented graduates with internship opportunities, with several progressing into Patent Traineeships within the business. Notably, all participants to date have been female, supporting our commitment to increasing the representation of women in STEM and within the IP profession</w:t>
      </w:r>
      <w:r w:rsidR="008A553D">
        <w:t>.</w:t>
      </w:r>
      <w:r>
        <w:t xml:space="preserve">   </w:t>
      </w:r>
    </w:p>
    <w:p w14:paraId="2871A652" w14:textId="77777777" w:rsidR="00513096" w:rsidRDefault="00513096" w:rsidP="007F324C">
      <w:pPr>
        <w:rPr>
          <w:highlight w:val="yellow"/>
        </w:rPr>
      </w:pPr>
    </w:p>
    <w:p w14:paraId="07B5A4C4" w14:textId="7A9101D1" w:rsidR="007F324C" w:rsidRDefault="0086198E" w:rsidP="007F324C">
      <w:pPr>
        <w:rPr>
          <w:b/>
        </w:rPr>
      </w:pPr>
      <w:r w:rsidRPr="00CC7A58">
        <w:t xml:space="preserve">Our work to date is reflected in the Gender Pay Gap Report, which shows an overall reduction of </w:t>
      </w:r>
      <w:r w:rsidR="00513096" w:rsidRPr="00CC7A58">
        <w:t>1.7</w:t>
      </w:r>
      <w:r w:rsidRPr="00CC7A58">
        <w:t xml:space="preserve">% from the prior reporting period. </w:t>
      </w:r>
      <w:r w:rsidR="005F7361" w:rsidRPr="00CC7A58">
        <w:t>T</w:t>
      </w:r>
      <w:r w:rsidRPr="00CC7A58">
        <w:t xml:space="preserve">he </w:t>
      </w:r>
      <w:r w:rsidR="005F7361" w:rsidRPr="00CC7A58">
        <w:t xml:space="preserve">latest report </w:t>
      </w:r>
      <w:r w:rsidR="00FC14EB">
        <w:t xml:space="preserve">also </w:t>
      </w:r>
      <w:r w:rsidR="00FC14EB" w:rsidRPr="00CC7A58">
        <w:t>illustrates</w:t>
      </w:r>
      <w:r w:rsidRPr="00CC7A58">
        <w:t xml:space="preserve"> a </w:t>
      </w:r>
      <w:r w:rsidR="005F7361" w:rsidRPr="00CC7A58">
        <w:t>2.8</w:t>
      </w:r>
      <w:r w:rsidRPr="00CC7A58">
        <w:t xml:space="preserve">% reduction in the average gap within the upper </w:t>
      </w:r>
      <w:r w:rsidR="003F3410">
        <w:t xml:space="preserve">middle </w:t>
      </w:r>
      <w:r w:rsidRPr="00CC7A58">
        <w:t>quartile (</w:t>
      </w:r>
      <w:r w:rsidR="005F7361" w:rsidRPr="00CC7A58">
        <w:t>11</w:t>
      </w:r>
      <w:r w:rsidRPr="00CC7A58">
        <w:t xml:space="preserve">.9% reduced to </w:t>
      </w:r>
      <w:r w:rsidR="005F7361" w:rsidRPr="00CC7A58">
        <w:t>9.1</w:t>
      </w:r>
      <w:r w:rsidRPr="00CC7A58">
        <w:t xml:space="preserve">%) and a reduction of </w:t>
      </w:r>
      <w:r w:rsidR="005F7361" w:rsidRPr="00CC7A58">
        <w:t>5.8</w:t>
      </w:r>
      <w:r w:rsidRPr="00CC7A58">
        <w:t xml:space="preserve">% in the median pay gap within the upper </w:t>
      </w:r>
      <w:r w:rsidR="003F3410">
        <w:t xml:space="preserve">middle </w:t>
      </w:r>
      <w:r w:rsidRPr="00CC7A58">
        <w:t>quartile (</w:t>
      </w:r>
      <w:r w:rsidR="005F7361" w:rsidRPr="00CC7A58">
        <w:t>16.5 to 10.7</w:t>
      </w:r>
      <w:r w:rsidRPr="00CC7A58">
        <w:t xml:space="preserve">%). </w:t>
      </w:r>
      <w:r w:rsidR="005F7361" w:rsidRPr="00CC7A58">
        <w:t xml:space="preserve">This is significant as this is the level at which we would expect to see our attorney talent come through the organisation into post qualified attorney roles. This being a key future talent pipeline.  </w:t>
      </w:r>
      <w:r w:rsidRPr="00CC7A58">
        <w:t>All that said, we recognise that there is work to be done and so will continue to focus on reducing the overall gap further in future reporting periods.</w:t>
      </w:r>
      <w:r>
        <w:t xml:space="preserve"> </w:t>
      </w:r>
    </w:p>
    <w:p w14:paraId="301E1853" w14:textId="77777777" w:rsidR="00AF1D1D" w:rsidRDefault="00AF1D1D" w:rsidP="007F324C">
      <w:pPr>
        <w:rPr>
          <w:b/>
          <w:bCs/>
        </w:rPr>
      </w:pPr>
    </w:p>
    <w:p w14:paraId="35F47AE9" w14:textId="6B6BF9ED" w:rsidR="00F535FF" w:rsidRDefault="00F535FF" w:rsidP="00F535FF">
      <w:pPr>
        <w:pStyle w:val="Heading2"/>
      </w:pPr>
      <w:bookmarkStart w:id="12" w:name="_Toc222745658"/>
      <w:r>
        <w:t>Summary</w:t>
      </w:r>
      <w:bookmarkEnd w:id="12"/>
    </w:p>
    <w:p w14:paraId="5C271296" w14:textId="77777777" w:rsidR="00F535FF" w:rsidRDefault="00F535FF" w:rsidP="00F535FF"/>
    <w:p w14:paraId="2B424B97" w14:textId="77777777" w:rsidR="00AE23B4" w:rsidRDefault="00AE23B4" w:rsidP="00AE23B4">
      <w:r>
        <w:t>We are committed to creating and maintaining a truly diverse and inclusive work environment and a business where everyone can realise their potential and achieve success.  Our approach to equality, diversity and inclusion will continue to inform our business strategy and organisational development activities including recruitment, career progression, development, reward and wellbeing.</w:t>
      </w:r>
      <w:r>
        <w:br/>
      </w:r>
    </w:p>
    <w:p w14:paraId="295AB460" w14:textId="77777777" w:rsidR="00AE23B4" w:rsidRDefault="00AE23B4" w:rsidP="00AE23B4">
      <w:r>
        <w:t xml:space="preserve">As in prior reports, while the data and analysis that inform this report are UK specific and are formatted to meet UK regulatory requirements, we are committed to pursuing strategies and actions designed to deliver an improved gender pay balance in all roles and at all levels of the company across our global network. </w:t>
      </w:r>
    </w:p>
    <w:p w14:paraId="17C69C85" w14:textId="77777777" w:rsidR="00AE23B4" w:rsidRDefault="00AE23B4" w:rsidP="00AE23B4"/>
    <w:p w14:paraId="396F6565" w14:textId="77777777" w:rsidR="00AE23B4" w:rsidRPr="00380558" w:rsidRDefault="00AE23B4" w:rsidP="00AE23B4">
      <w:pPr>
        <w:rPr>
          <w:b/>
        </w:rPr>
      </w:pPr>
      <w:r w:rsidRPr="00380558">
        <w:rPr>
          <w:b/>
        </w:rPr>
        <w:t xml:space="preserve">John Gillies </w:t>
      </w:r>
    </w:p>
    <w:p w14:paraId="0191ADAF" w14:textId="2E57E86C" w:rsidR="00AE23B4" w:rsidRDefault="00A2073A" w:rsidP="00AE23B4">
      <w:pPr>
        <w:rPr>
          <w:b/>
        </w:rPr>
      </w:pPr>
      <w:r>
        <w:rPr>
          <w:b/>
        </w:rPr>
        <w:t>Chief People Officer</w:t>
      </w:r>
    </w:p>
    <w:p w14:paraId="258F93F4" w14:textId="7E287349" w:rsidR="00A2073A" w:rsidRDefault="00CC7A58" w:rsidP="00AE23B4">
      <w:r>
        <w:rPr>
          <w:b/>
        </w:rPr>
        <w:t>February</w:t>
      </w:r>
      <w:r w:rsidR="00A2073A">
        <w:rPr>
          <w:b/>
        </w:rPr>
        <w:t xml:space="preserve"> 202</w:t>
      </w:r>
      <w:r w:rsidR="00156721">
        <w:rPr>
          <w:b/>
        </w:rPr>
        <w:t>6</w:t>
      </w:r>
    </w:p>
    <w:p w14:paraId="1852603A" w14:textId="77777777" w:rsidR="00AE23B4" w:rsidRDefault="00AE23B4" w:rsidP="00AE23B4"/>
    <w:p w14:paraId="5594FD9A" w14:textId="77777777" w:rsidR="00F535FF" w:rsidRPr="00F535FF" w:rsidRDefault="00F535FF" w:rsidP="00F535FF"/>
    <w:sectPr w:rsidR="00F535FF" w:rsidRPr="00F535FF" w:rsidSect="00FC14EB">
      <w:headerReference w:type="default" r:id="rId9"/>
      <w:footerReference w:type="default" r:id="rId10"/>
      <w:type w:val="continuous"/>
      <w:pgSz w:w="11906" w:h="16838"/>
      <w:pgMar w:top="1304" w:right="1134" w:bottom="1304" w:left="1134"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76F1" w14:textId="77777777" w:rsidR="00127F33" w:rsidRDefault="00127F33" w:rsidP="000D503A">
      <w:r>
        <w:separator/>
      </w:r>
    </w:p>
  </w:endnote>
  <w:endnote w:type="continuationSeparator" w:id="0">
    <w:p w14:paraId="351C99AE" w14:textId="77777777" w:rsidR="00127F33" w:rsidRDefault="00127F33" w:rsidP="000D503A">
      <w:r>
        <w:continuationSeparator/>
      </w:r>
    </w:p>
  </w:endnote>
  <w:endnote w:type="continuationNotice" w:id="1">
    <w:p w14:paraId="338E23A4" w14:textId="77777777" w:rsidR="00127F33" w:rsidRDefault="00127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960374"/>
      <w:docPartObj>
        <w:docPartGallery w:val="Page Numbers (Bottom of Page)"/>
        <w:docPartUnique/>
      </w:docPartObj>
    </w:sdtPr>
    <w:sdtEndPr>
      <w:rPr>
        <w:noProof/>
      </w:rPr>
    </w:sdtEndPr>
    <w:sdtContent>
      <w:p w14:paraId="5B54EA19" w14:textId="4EB17325" w:rsidR="00FC14EB" w:rsidRDefault="00FC14EB">
        <w:pPr>
          <w:pStyle w:val="Footer"/>
          <w:jc w:val="right"/>
        </w:pPr>
        <w:r>
          <w:rPr>
            <w:noProof/>
          </w:rPr>
          <mc:AlternateContent>
            <mc:Choice Requires="wps">
              <w:drawing>
                <wp:anchor distT="0" distB="0" distL="114300" distR="114300" simplePos="0" relativeHeight="251659264" behindDoc="0" locked="0" layoutInCell="1" allowOverlap="1" wp14:anchorId="76661EE0" wp14:editId="1140983F">
                  <wp:simplePos x="0" y="0"/>
                  <wp:positionH relativeFrom="margin">
                    <wp:align>right</wp:align>
                  </wp:positionH>
                  <wp:positionV relativeFrom="paragraph">
                    <wp:posOffset>8890</wp:posOffset>
                  </wp:positionV>
                  <wp:extent cx="6096000" cy="19050"/>
                  <wp:effectExtent l="0" t="0" r="19050" b="19050"/>
                  <wp:wrapNone/>
                  <wp:docPr id="708313775" name="Straight Connector 1"/>
                  <wp:cNvGraphicFramePr/>
                  <a:graphic xmlns:a="http://schemas.openxmlformats.org/drawingml/2006/main">
                    <a:graphicData uri="http://schemas.microsoft.com/office/word/2010/wordprocessingShape">
                      <wps:wsp>
                        <wps:cNvCnPr/>
                        <wps:spPr>
                          <a:xfrm flipV="1">
                            <a:off x="0" y="0"/>
                            <a:ext cx="6096000" cy="1905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780A44" id="Straight Connector 1"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428.8pt,.7pt" to="908.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" strokecolor="red" strokeweight="1.5pt">
                  <v:stroke joinstyle="miter"/>
                  <w10:wrap anchorx="margin"/>
                </v:line>
              </w:pict>
            </mc:Fallback>
          </mc:AlternateContent>
        </w:r>
      </w:p>
      <w:p w14:paraId="49AA984D" w14:textId="3235A2C0" w:rsidR="00091218" w:rsidRDefault="000912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C2CD9D" w14:textId="1D93C99F" w:rsidR="00346F2E" w:rsidRPr="00346F2E" w:rsidRDefault="00346F2E">
    <w:pPr>
      <w:pStyle w:val="Footer"/>
      <w:rPr>
        <w:b/>
        <w:bCs/>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DB59C" w14:textId="77777777" w:rsidR="00127F33" w:rsidRDefault="00127F33" w:rsidP="000D503A">
      <w:r>
        <w:separator/>
      </w:r>
    </w:p>
  </w:footnote>
  <w:footnote w:type="continuationSeparator" w:id="0">
    <w:p w14:paraId="047EE160" w14:textId="77777777" w:rsidR="00127F33" w:rsidRDefault="00127F33" w:rsidP="000D503A">
      <w:r>
        <w:continuationSeparator/>
      </w:r>
    </w:p>
  </w:footnote>
  <w:footnote w:type="continuationNotice" w:id="1">
    <w:p w14:paraId="0E4C9A36" w14:textId="77777777" w:rsidR="00127F33" w:rsidRDefault="00127F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EA3F" w14:textId="2B6619A7" w:rsidR="00F535FF" w:rsidRDefault="00F535FF" w:rsidP="00F535FF">
    <w:pPr>
      <w:pStyle w:val="Header"/>
      <w:jc w:val="right"/>
    </w:pPr>
    <w:r>
      <w:rPr>
        <w:noProof/>
      </w:rPr>
      <w:drawing>
        <wp:inline distT="0" distB="0" distL="0" distR="0" wp14:anchorId="06F2F7C2" wp14:editId="7DA9F21C">
          <wp:extent cx="1838325" cy="649270"/>
          <wp:effectExtent l="0" t="0" r="0" b="0"/>
          <wp:docPr id="180981412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14127"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4729" cy="6727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DD4"/>
    <w:multiLevelType w:val="hybridMultilevel"/>
    <w:tmpl w:val="AF64128C"/>
    <w:lvl w:ilvl="0" w:tplc="A8766306">
      <w:start w:val="1"/>
      <w:numFmt w:val="bullet"/>
      <w:lvlText w:val=""/>
      <w:lvlJc w:val="left"/>
      <w:pPr>
        <w:ind w:left="360" w:hanging="360"/>
      </w:pPr>
      <w:rPr>
        <w:rFonts w:ascii="Symbol" w:hAnsi="Symbol" w:hint="default"/>
        <w:color w:val="F4364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0E25E9"/>
    <w:multiLevelType w:val="hybridMultilevel"/>
    <w:tmpl w:val="0DDC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27A44"/>
    <w:multiLevelType w:val="multilevel"/>
    <w:tmpl w:val="22B84624"/>
    <w:lvl w:ilvl="0">
      <w:start w:val="1"/>
      <w:numFmt w:val="decimal"/>
      <w:lvlText w:val="%1."/>
      <w:lvlJc w:val="left"/>
      <w:pPr>
        <w:ind w:left="360" w:hanging="360"/>
      </w:pPr>
      <w:rPr>
        <w:rFonts w:ascii="Arial" w:hAnsi="Arial" w:hint="default"/>
        <w:color w:val="FF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69465D"/>
    <w:multiLevelType w:val="multilevel"/>
    <w:tmpl w:val="E392D83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8A488C"/>
    <w:multiLevelType w:val="hybridMultilevel"/>
    <w:tmpl w:val="C340E4D4"/>
    <w:lvl w:ilvl="0" w:tplc="A8766306">
      <w:start w:val="1"/>
      <w:numFmt w:val="bullet"/>
      <w:lvlText w:val=""/>
      <w:lvlJc w:val="left"/>
      <w:pPr>
        <w:ind w:left="468" w:hanging="360"/>
      </w:pPr>
      <w:rPr>
        <w:rFonts w:ascii="Symbol" w:hAnsi="Symbol" w:hint="default"/>
        <w:color w:val="F4364C"/>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5" w15:restartNumberingAfterBreak="0">
    <w:nsid w:val="18826C9B"/>
    <w:multiLevelType w:val="hybridMultilevel"/>
    <w:tmpl w:val="6D7CA1C4"/>
    <w:lvl w:ilvl="0" w:tplc="A8766306">
      <w:start w:val="1"/>
      <w:numFmt w:val="bullet"/>
      <w:lvlText w:val=""/>
      <w:lvlJc w:val="left"/>
      <w:pPr>
        <w:ind w:left="360" w:hanging="360"/>
      </w:pPr>
      <w:rPr>
        <w:rFonts w:ascii="Symbol" w:hAnsi="Symbol" w:hint="default"/>
        <w:color w:val="F4364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817FA0"/>
    <w:multiLevelType w:val="hybridMultilevel"/>
    <w:tmpl w:val="CCB25450"/>
    <w:lvl w:ilvl="0" w:tplc="A8766306">
      <w:start w:val="1"/>
      <w:numFmt w:val="bullet"/>
      <w:lvlText w:val=""/>
      <w:lvlJc w:val="left"/>
      <w:pPr>
        <w:ind w:left="720" w:hanging="360"/>
      </w:pPr>
      <w:rPr>
        <w:rFonts w:ascii="Symbol" w:hAnsi="Symbol" w:hint="default"/>
        <w:color w:val="F4364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95716"/>
    <w:multiLevelType w:val="hybridMultilevel"/>
    <w:tmpl w:val="3B00C292"/>
    <w:lvl w:ilvl="0" w:tplc="A8766306">
      <w:start w:val="1"/>
      <w:numFmt w:val="bullet"/>
      <w:lvlText w:val=""/>
      <w:lvlJc w:val="left"/>
      <w:pPr>
        <w:ind w:left="720" w:hanging="360"/>
      </w:pPr>
      <w:rPr>
        <w:rFonts w:ascii="Symbol" w:hAnsi="Symbol" w:hint="default"/>
        <w:color w:val="F4364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73B21"/>
    <w:multiLevelType w:val="hybridMultilevel"/>
    <w:tmpl w:val="6360F290"/>
    <w:lvl w:ilvl="0" w:tplc="A8766306">
      <w:start w:val="1"/>
      <w:numFmt w:val="bullet"/>
      <w:lvlText w:val=""/>
      <w:lvlJc w:val="left"/>
      <w:pPr>
        <w:ind w:left="468" w:hanging="360"/>
      </w:pPr>
      <w:rPr>
        <w:rFonts w:ascii="Symbol" w:hAnsi="Symbol" w:hint="default"/>
        <w:color w:val="F4364C"/>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9" w15:restartNumberingAfterBreak="0">
    <w:nsid w:val="22DC7C57"/>
    <w:multiLevelType w:val="hybridMultilevel"/>
    <w:tmpl w:val="DF543638"/>
    <w:lvl w:ilvl="0" w:tplc="A8766306">
      <w:start w:val="1"/>
      <w:numFmt w:val="bullet"/>
      <w:lvlText w:val=""/>
      <w:lvlJc w:val="left"/>
      <w:pPr>
        <w:ind w:left="360" w:hanging="360"/>
      </w:pPr>
      <w:rPr>
        <w:rFonts w:ascii="Symbol" w:hAnsi="Symbol" w:hint="default"/>
        <w:color w:val="F4364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BA7755"/>
    <w:multiLevelType w:val="hybridMultilevel"/>
    <w:tmpl w:val="A96C20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F71FB5"/>
    <w:multiLevelType w:val="hybridMultilevel"/>
    <w:tmpl w:val="121053EE"/>
    <w:lvl w:ilvl="0" w:tplc="A8766306">
      <w:start w:val="1"/>
      <w:numFmt w:val="bullet"/>
      <w:lvlText w:val=""/>
      <w:lvlJc w:val="left"/>
      <w:pPr>
        <w:ind w:left="360" w:hanging="360"/>
      </w:pPr>
      <w:rPr>
        <w:rFonts w:ascii="Symbol" w:hAnsi="Symbol" w:hint="default"/>
        <w:color w:val="F4364C"/>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8674E2"/>
    <w:multiLevelType w:val="multilevel"/>
    <w:tmpl w:val="4C1AFE26"/>
    <w:lvl w:ilvl="0">
      <w:start w:val="1"/>
      <w:numFmt w:val="decimal"/>
      <w:lvlText w:val="%1."/>
      <w:lvlJc w:val="left"/>
      <w:pPr>
        <w:ind w:left="360" w:hanging="360"/>
      </w:pPr>
      <w:rPr>
        <w:rFonts w:ascii="Arial" w:hAnsi="Arial" w:hint="default"/>
        <w:color w:val="FF0000"/>
      </w:rPr>
    </w:lvl>
    <w:lvl w:ilvl="1">
      <w:start w:val="1"/>
      <w:numFmt w:val="decimal"/>
      <w:lvlText w:val="%1.%2."/>
      <w:lvlJc w:val="left"/>
      <w:pPr>
        <w:ind w:left="792" w:hanging="432"/>
      </w:pPr>
      <w:rPr>
        <w:rFonts w:ascii="Arial" w:hAnsi="Arial"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9210FB"/>
    <w:multiLevelType w:val="hybridMultilevel"/>
    <w:tmpl w:val="26C4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F1AFD"/>
    <w:multiLevelType w:val="hybridMultilevel"/>
    <w:tmpl w:val="3454E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C7734C"/>
    <w:multiLevelType w:val="hybridMultilevel"/>
    <w:tmpl w:val="E38AAA9A"/>
    <w:lvl w:ilvl="0" w:tplc="A8766306">
      <w:start w:val="1"/>
      <w:numFmt w:val="bullet"/>
      <w:lvlText w:val=""/>
      <w:lvlJc w:val="left"/>
      <w:pPr>
        <w:ind w:left="720" w:hanging="360"/>
      </w:pPr>
      <w:rPr>
        <w:rFonts w:ascii="Symbol" w:hAnsi="Symbol" w:hint="default"/>
        <w:color w:val="F4364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44B2A"/>
    <w:multiLevelType w:val="hybridMultilevel"/>
    <w:tmpl w:val="9C7E32EC"/>
    <w:lvl w:ilvl="0" w:tplc="DF1E003E">
      <w:start w:val="1"/>
      <w:numFmt w:val="bullet"/>
      <w:lvlText w:val="•"/>
      <w:lvlJc w:val="left"/>
      <w:pPr>
        <w:tabs>
          <w:tab w:val="num" w:pos="720"/>
        </w:tabs>
        <w:ind w:left="720" w:hanging="360"/>
      </w:pPr>
      <w:rPr>
        <w:rFonts w:ascii="Arial" w:hAnsi="Arial" w:hint="default"/>
      </w:rPr>
    </w:lvl>
    <w:lvl w:ilvl="1" w:tplc="B9FA3BA4">
      <w:start w:val="1"/>
      <w:numFmt w:val="bullet"/>
      <w:lvlText w:val="•"/>
      <w:lvlJc w:val="left"/>
      <w:pPr>
        <w:tabs>
          <w:tab w:val="num" w:pos="1440"/>
        </w:tabs>
        <w:ind w:left="1440" w:hanging="360"/>
      </w:pPr>
      <w:rPr>
        <w:rFonts w:ascii="Arial" w:hAnsi="Arial" w:hint="default"/>
      </w:rPr>
    </w:lvl>
    <w:lvl w:ilvl="2" w:tplc="8A38131A" w:tentative="1">
      <w:start w:val="1"/>
      <w:numFmt w:val="bullet"/>
      <w:lvlText w:val="•"/>
      <w:lvlJc w:val="left"/>
      <w:pPr>
        <w:tabs>
          <w:tab w:val="num" w:pos="2160"/>
        </w:tabs>
        <w:ind w:left="2160" w:hanging="360"/>
      </w:pPr>
      <w:rPr>
        <w:rFonts w:ascii="Arial" w:hAnsi="Arial" w:hint="default"/>
      </w:rPr>
    </w:lvl>
    <w:lvl w:ilvl="3" w:tplc="11EAB94E" w:tentative="1">
      <w:start w:val="1"/>
      <w:numFmt w:val="bullet"/>
      <w:lvlText w:val="•"/>
      <w:lvlJc w:val="left"/>
      <w:pPr>
        <w:tabs>
          <w:tab w:val="num" w:pos="2880"/>
        </w:tabs>
        <w:ind w:left="2880" w:hanging="360"/>
      </w:pPr>
      <w:rPr>
        <w:rFonts w:ascii="Arial" w:hAnsi="Arial" w:hint="default"/>
      </w:rPr>
    </w:lvl>
    <w:lvl w:ilvl="4" w:tplc="904E80B8">
      <w:numFmt w:val="bullet"/>
      <w:lvlText w:val="•"/>
      <w:lvlJc w:val="left"/>
      <w:pPr>
        <w:tabs>
          <w:tab w:val="num" w:pos="3600"/>
        </w:tabs>
        <w:ind w:left="3600" w:hanging="360"/>
      </w:pPr>
      <w:rPr>
        <w:rFonts w:ascii="Arial" w:hAnsi="Arial" w:hint="default"/>
      </w:rPr>
    </w:lvl>
    <w:lvl w:ilvl="5" w:tplc="97CCEC20" w:tentative="1">
      <w:start w:val="1"/>
      <w:numFmt w:val="bullet"/>
      <w:lvlText w:val="•"/>
      <w:lvlJc w:val="left"/>
      <w:pPr>
        <w:tabs>
          <w:tab w:val="num" w:pos="4320"/>
        </w:tabs>
        <w:ind w:left="4320" w:hanging="360"/>
      </w:pPr>
      <w:rPr>
        <w:rFonts w:ascii="Arial" w:hAnsi="Arial" w:hint="default"/>
      </w:rPr>
    </w:lvl>
    <w:lvl w:ilvl="6" w:tplc="30F0E4C4" w:tentative="1">
      <w:start w:val="1"/>
      <w:numFmt w:val="bullet"/>
      <w:lvlText w:val="•"/>
      <w:lvlJc w:val="left"/>
      <w:pPr>
        <w:tabs>
          <w:tab w:val="num" w:pos="5040"/>
        </w:tabs>
        <w:ind w:left="5040" w:hanging="360"/>
      </w:pPr>
      <w:rPr>
        <w:rFonts w:ascii="Arial" w:hAnsi="Arial" w:hint="default"/>
      </w:rPr>
    </w:lvl>
    <w:lvl w:ilvl="7" w:tplc="DC8C745A" w:tentative="1">
      <w:start w:val="1"/>
      <w:numFmt w:val="bullet"/>
      <w:lvlText w:val="•"/>
      <w:lvlJc w:val="left"/>
      <w:pPr>
        <w:tabs>
          <w:tab w:val="num" w:pos="5760"/>
        </w:tabs>
        <w:ind w:left="5760" w:hanging="360"/>
      </w:pPr>
      <w:rPr>
        <w:rFonts w:ascii="Arial" w:hAnsi="Arial" w:hint="default"/>
      </w:rPr>
    </w:lvl>
    <w:lvl w:ilvl="8" w:tplc="3F84F60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4F7298"/>
    <w:multiLevelType w:val="multilevel"/>
    <w:tmpl w:val="22B84624"/>
    <w:lvl w:ilvl="0">
      <w:start w:val="1"/>
      <w:numFmt w:val="decimal"/>
      <w:lvlText w:val="%1."/>
      <w:lvlJc w:val="left"/>
      <w:pPr>
        <w:ind w:left="360" w:hanging="360"/>
      </w:pPr>
      <w:rPr>
        <w:rFonts w:ascii="Arial" w:hAnsi="Arial" w:hint="default"/>
        <w:color w:val="FF0000"/>
      </w:rPr>
    </w:lvl>
    <w:lvl w:ilvl="1">
      <w:start w:val="1"/>
      <w:numFmt w:val="decimal"/>
      <w:lvlText w:val="%1.%2."/>
      <w:lvlJc w:val="left"/>
      <w:pPr>
        <w:ind w:left="792"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162393"/>
    <w:multiLevelType w:val="hybridMultilevel"/>
    <w:tmpl w:val="D98E9E8E"/>
    <w:lvl w:ilvl="0" w:tplc="A8766306">
      <w:start w:val="1"/>
      <w:numFmt w:val="bullet"/>
      <w:lvlText w:val=""/>
      <w:lvlJc w:val="left"/>
      <w:pPr>
        <w:ind w:left="360" w:hanging="360"/>
      </w:pPr>
      <w:rPr>
        <w:rFonts w:ascii="Symbol" w:hAnsi="Symbol" w:hint="default"/>
        <w:color w:val="F4364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D671D8"/>
    <w:multiLevelType w:val="hybridMultilevel"/>
    <w:tmpl w:val="9D22D1E6"/>
    <w:lvl w:ilvl="0" w:tplc="A8766306">
      <w:start w:val="1"/>
      <w:numFmt w:val="bullet"/>
      <w:lvlText w:val=""/>
      <w:lvlJc w:val="left"/>
      <w:pPr>
        <w:ind w:left="360" w:hanging="360"/>
      </w:pPr>
      <w:rPr>
        <w:rFonts w:ascii="Symbol" w:hAnsi="Symbol" w:hint="default"/>
        <w:color w:val="F4364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1E7875"/>
    <w:multiLevelType w:val="hybridMultilevel"/>
    <w:tmpl w:val="D2AE15BA"/>
    <w:lvl w:ilvl="0" w:tplc="89B6721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B11BAD"/>
    <w:multiLevelType w:val="hybridMultilevel"/>
    <w:tmpl w:val="091A91B4"/>
    <w:lvl w:ilvl="0" w:tplc="A8766306">
      <w:start w:val="1"/>
      <w:numFmt w:val="bullet"/>
      <w:lvlText w:val=""/>
      <w:lvlJc w:val="left"/>
      <w:pPr>
        <w:ind w:left="360" w:hanging="360"/>
      </w:pPr>
      <w:rPr>
        <w:rFonts w:ascii="Symbol" w:hAnsi="Symbol" w:hint="default"/>
        <w:color w:val="F4364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7C28DD"/>
    <w:multiLevelType w:val="hybridMultilevel"/>
    <w:tmpl w:val="A0600098"/>
    <w:lvl w:ilvl="0" w:tplc="0842354C">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362C7E34">
      <w:numFmt w:val="bullet"/>
      <w:lvlText w:val="•"/>
      <w:lvlJc w:val="left"/>
      <w:pPr>
        <w:ind w:left="1469" w:hanging="361"/>
      </w:pPr>
      <w:rPr>
        <w:rFonts w:hint="default"/>
        <w:lang w:val="en-US" w:eastAsia="en-US" w:bidi="ar-SA"/>
      </w:rPr>
    </w:lvl>
    <w:lvl w:ilvl="2" w:tplc="2BCC89B2">
      <w:numFmt w:val="bullet"/>
      <w:lvlText w:val="•"/>
      <w:lvlJc w:val="left"/>
      <w:pPr>
        <w:ind w:left="2119" w:hanging="361"/>
      </w:pPr>
      <w:rPr>
        <w:rFonts w:hint="default"/>
        <w:lang w:val="en-US" w:eastAsia="en-US" w:bidi="ar-SA"/>
      </w:rPr>
    </w:lvl>
    <w:lvl w:ilvl="3" w:tplc="EB70A488">
      <w:numFmt w:val="bullet"/>
      <w:lvlText w:val="•"/>
      <w:lvlJc w:val="left"/>
      <w:pPr>
        <w:ind w:left="2769" w:hanging="361"/>
      </w:pPr>
      <w:rPr>
        <w:rFonts w:hint="default"/>
        <w:lang w:val="en-US" w:eastAsia="en-US" w:bidi="ar-SA"/>
      </w:rPr>
    </w:lvl>
    <w:lvl w:ilvl="4" w:tplc="746266A4">
      <w:numFmt w:val="bullet"/>
      <w:lvlText w:val="•"/>
      <w:lvlJc w:val="left"/>
      <w:pPr>
        <w:ind w:left="3419" w:hanging="361"/>
      </w:pPr>
      <w:rPr>
        <w:rFonts w:hint="default"/>
        <w:lang w:val="en-US" w:eastAsia="en-US" w:bidi="ar-SA"/>
      </w:rPr>
    </w:lvl>
    <w:lvl w:ilvl="5" w:tplc="F9442BBE">
      <w:numFmt w:val="bullet"/>
      <w:lvlText w:val="•"/>
      <w:lvlJc w:val="left"/>
      <w:pPr>
        <w:ind w:left="4069" w:hanging="361"/>
      </w:pPr>
      <w:rPr>
        <w:rFonts w:hint="default"/>
        <w:lang w:val="en-US" w:eastAsia="en-US" w:bidi="ar-SA"/>
      </w:rPr>
    </w:lvl>
    <w:lvl w:ilvl="6" w:tplc="754E9EDA">
      <w:numFmt w:val="bullet"/>
      <w:lvlText w:val="•"/>
      <w:lvlJc w:val="left"/>
      <w:pPr>
        <w:ind w:left="4719" w:hanging="361"/>
      </w:pPr>
      <w:rPr>
        <w:rFonts w:hint="default"/>
        <w:lang w:val="en-US" w:eastAsia="en-US" w:bidi="ar-SA"/>
      </w:rPr>
    </w:lvl>
    <w:lvl w:ilvl="7" w:tplc="93FCD5DC">
      <w:numFmt w:val="bullet"/>
      <w:lvlText w:val="•"/>
      <w:lvlJc w:val="left"/>
      <w:pPr>
        <w:ind w:left="5369" w:hanging="361"/>
      </w:pPr>
      <w:rPr>
        <w:rFonts w:hint="default"/>
        <w:lang w:val="en-US" w:eastAsia="en-US" w:bidi="ar-SA"/>
      </w:rPr>
    </w:lvl>
    <w:lvl w:ilvl="8" w:tplc="D0B2B804">
      <w:numFmt w:val="bullet"/>
      <w:lvlText w:val="•"/>
      <w:lvlJc w:val="left"/>
      <w:pPr>
        <w:ind w:left="6019" w:hanging="361"/>
      </w:pPr>
      <w:rPr>
        <w:rFonts w:hint="default"/>
        <w:lang w:val="en-US" w:eastAsia="en-US" w:bidi="ar-SA"/>
      </w:rPr>
    </w:lvl>
  </w:abstractNum>
  <w:abstractNum w:abstractNumId="23" w15:restartNumberingAfterBreak="0">
    <w:nsid w:val="4C813C54"/>
    <w:multiLevelType w:val="hybridMultilevel"/>
    <w:tmpl w:val="47529A84"/>
    <w:lvl w:ilvl="0" w:tplc="A8766306">
      <w:start w:val="1"/>
      <w:numFmt w:val="bullet"/>
      <w:lvlText w:val=""/>
      <w:lvlJc w:val="left"/>
      <w:pPr>
        <w:ind w:left="360" w:hanging="360"/>
      </w:pPr>
      <w:rPr>
        <w:rFonts w:ascii="Symbol" w:hAnsi="Symbol" w:hint="default"/>
        <w:color w:val="F4364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114697"/>
    <w:multiLevelType w:val="hybridMultilevel"/>
    <w:tmpl w:val="A4643D5A"/>
    <w:lvl w:ilvl="0" w:tplc="A8766306">
      <w:start w:val="1"/>
      <w:numFmt w:val="bullet"/>
      <w:lvlText w:val=""/>
      <w:lvlJc w:val="left"/>
      <w:pPr>
        <w:ind w:left="468" w:hanging="360"/>
      </w:pPr>
      <w:rPr>
        <w:rFonts w:ascii="Symbol" w:hAnsi="Symbol" w:hint="default"/>
        <w:color w:val="F4364C"/>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5" w15:restartNumberingAfterBreak="0">
    <w:nsid w:val="521237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3011AC"/>
    <w:multiLevelType w:val="hybridMultilevel"/>
    <w:tmpl w:val="50D8EC16"/>
    <w:lvl w:ilvl="0" w:tplc="A8766306">
      <w:start w:val="1"/>
      <w:numFmt w:val="bullet"/>
      <w:lvlText w:val=""/>
      <w:lvlJc w:val="left"/>
      <w:pPr>
        <w:ind w:left="360" w:hanging="360"/>
      </w:pPr>
      <w:rPr>
        <w:rFonts w:ascii="Symbol" w:hAnsi="Symbol" w:hint="default"/>
        <w:color w:val="F4364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021A54"/>
    <w:multiLevelType w:val="hybridMultilevel"/>
    <w:tmpl w:val="3538F450"/>
    <w:lvl w:ilvl="0" w:tplc="A8766306">
      <w:start w:val="1"/>
      <w:numFmt w:val="bullet"/>
      <w:lvlText w:val=""/>
      <w:lvlJc w:val="left"/>
      <w:pPr>
        <w:ind w:left="360" w:hanging="360"/>
      </w:pPr>
      <w:rPr>
        <w:rFonts w:ascii="Symbol" w:hAnsi="Symbol" w:hint="default"/>
        <w:color w:val="F4364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56424A"/>
    <w:multiLevelType w:val="hybridMultilevel"/>
    <w:tmpl w:val="8DBE4CFC"/>
    <w:lvl w:ilvl="0" w:tplc="A8766306">
      <w:start w:val="1"/>
      <w:numFmt w:val="bullet"/>
      <w:lvlText w:val=""/>
      <w:lvlJc w:val="left"/>
      <w:pPr>
        <w:ind w:left="720" w:hanging="360"/>
      </w:pPr>
      <w:rPr>
        <w:rFonts w:ascii="Symbol" w:hAnsi="Symbol" w:hint="default"/>
        <w:color w:val="F4364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A91293"/>
    <w:multiLevelType w:val="hybridMultilevel"/>
    <w:tmpl w:val="157CB068"/>
    <w:lvl w:ilvl="0" w:tplc="A8766306">
      <w:start w:val="1"/>
      <w:numFmt w:val="bullet"/>
      <w:lvlText w:val=""/>
      <w:lvlJc w:val="left"/>
      <w:pPr>
        <w:ind w:left="360" w:hanging="360"/>
      </w:pPr>
      <w:rPr>
        <w:rFonts w:ascii="Symbol" w:hAnsi="Symbol" w:hint="default"/>
        <w:color w:val="F4364C"/>
      </w:rPr>
    </w:lvl>
    <w:lvl w:ilvl="1" w:tplc="A8766306">
      <w:start w:val="1"/>
      <w:numFmt w:val="bullet"/>
      <w:lvlText w:val=""/>
      <w:lvlJc w:val="left"/>
      <w:pPr>
        <w:ind w:left="1080" w:hanging="360"/>
      </w:pPr>
      <w:rPr>
        <w:rFonts w:ascii="Symbol" w:hAnsi="Symbol" w:hint="default"/>
        <w:color w:val="F4364C"/>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6F5776"/>
    <w:multiLevelType w:val="hybridMultilevel"/>
    <w:tmpl w:val="75EC6EF8"/>
    <w:lvl w:ilvl="0" w:tplc="FFFFFFFF">
      <w:start w:val="1"/>
      <w:numFmt w:val="bullet"/>
      <w:lvlText w:val=""/>
      <w:lvlJc w:val="left"/>
      <w:pPr>
        <w:ind w:left="360" w:hanging="360"/>
      </w:pPr>
      <w:rPr>
        <w:rFonts w:ascii="Symbol" w:hAnsi="Symbol" w:hint="default"/>
        <w:color w:val="F4364C"/>
      </w:rPr>
    </w:lvl>
    <w:lvl w:ilvl="1" w:tplc="A6D02BDE">
      <w:start w:val="1"/>
      <w:numFmt w:val="bullet"/>
      <w:lvlText w:val="o"/>
      <w:lvlJc w:val="left"/>
      <w:pPr>
        <w:ind w:left="1080" w:hanging="360"/>
      </w:pPr>
      <w:rPr>
        <w:rFonts w:ascii="Courier New" w:hAnsi="Courier New" w:hint="default"/>
        <w:color w:val="FF000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32F49C1"/>
    <w:multiLevelType w:val="hybridMultilevel"/>
    <w:tmpl w:val="989E75BE"/>
    <w:lvl w:ilvl="0" w:tplc="FFFFFFFF">
      <w:start w:val="1"/>
      <w:numFmt w:val="bullet"/>
      <w:lvlText w:val=""/>
      <w:lvlJc w:val="left"/>
      <w:pPr>
        <w:ind w:left="720" w:hanging="360"/>
      </w:pPr>
      <w:rPr>
        <w:rFonts w:ascii="Symbol" w:hAnsi="Symbol" w:hint="default"/>
        <w:color w:val="F4364C"/>
      </w:rPr>
    </w:lvl>
    <w:lvl w:ilvl="1" w:tplc="A6D02BDE">
      <w:start w:val="1"/>
      <w:numFmt w:val="bullet"/>
      <w:lvlText w:val="o"/>
      <w:lvlJc w:val="left"/>
      <w:pPr>
        <w:ind w:left="1440" w:hanging="360"/>
      </w:pPr>
      <w:rPr>
        <w:rFonts w:ascii="Courier New" w:hAnsi="Courier New" w:hint="default"/>
        <w:color w:val="FF000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4C5194A"/>
    <w:multiLevelType w:val="hybridMultilevel"/>
    <w:tmpl w:val="CD3E7000"/>
    <w:lvl w:ilvl="0" w:tplc="49E672DA">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7F6CF68C">
      <w:numFmt w:val="bullet"/>
      <w:lvlText w:val="•"/>
      <w:lvlJc w:val="left"/>
      <w:pPr>
        <w:ind w:left="1469" w:hanging="361"/>
      </w:pPr>
      <w:rPr>
        <w:rFonts w:hint="default"/>
        <w:lang w:val="en-US" w:eastAsia="en-US" w:bidi="ar-SA"/>
      </w:rPr>
    </w:lvl>
    <w:lvl w:ilvl="2" w:tplc="FBB8820E">
      <w:numFmt w:val="bullet"/>
      <w:lvlText w:val="•"/>
      <w:lvlJc w:val="left"/>
      <w:pPr>
        <w:ind w:left="2119" w:hanging="361"/>
      </w:pPr>
      <w:rPr>
        <w:rFonts w:hint="default"/>
        <w:lang w:val="en-US" w:eastAsia="en-US" w:bidi="ar-SA"/>
      </w:rPr>
    </w:lvl>
    <w:lvl w:ilvl="3" w:tplc="C6925888">
      <w:numFmt w:val="bullet"/>
      <w:lvlText w:val="•"/>
      <w:lvlJc w:val="left"/>
      <w:pPr>
        <w:ind w:left="2769" w:hanging="361"/>
      </w:pPr>
      <w:rPr>
        <w:rFonts w:hint="default"/>
        <w:lang w:val="en-US" w:eastAsia="en-US" w:bidi="ar-SA"/>
      </w:rPr>
    </w:lvl>
    <w:lvl w:ilvl="4" w:tplc="E340BD8E">
      <w:numFmt w:val="bullet"/>
      <w:lvlText w:val="•"/>
      <w:lvlJc w:val="left"/>
      <w:pPr>
        <w:ind w:left="3419" w:hanging="361"/>
      </w:pPr>
      <w:rPr>
        <w:rFonts w:hint="default"/>
        <w:lang w:val="en-US" w:eastAsia="en-US" w:bidi="ar-SA"/>
      </w:rPr>
    </w:lvl>
    <w:lvl w:ilvl="5" w:tplc="822A220E">
      <w:numFmt w:val="bullet"/>
      <w:lvlText w:val="•"/>
      <w:lvlJc w:val="left"/>
      <w:pPr>
        <w:ind w:left="4069" w:hanging="361"/>
      </w:pPr>
      <w:rPr>
        <w:rFonts w:hint="default"/>
        <w:lang w:val="en-US" w:eastAsia="en-US" w:bidi="ar-SA"/>
      </w:rPr>
    </w:lvl>
    <w:lvl w:ilvl="6" w:tplc="D904EDB2">
      <w:numFmt w:val="bullet"/>
      <w:lvlText w:val="•"/>
      <w:lvlJc w:val="left"/>
      <w:pPr>
        <w:ind w:left="4719" w:hanging="361"/>
      </w:pPr>
      <w:rPr>
        <w:rFonts w:hint="default"/>
        <w:lang w:val="en-US" w:eastAsia="en-US" w:bidi="ar-SA"/>
      </w:rPr>
    </w:lvl>
    <w:lvl w:ilvl="7" w:tplc="55D68466">
      <w:numFmt w:val="bullet"/>
      <w:lvlText w:val="•"/>
      <w:lvlJc w:val="left"/>
      <w:pPr>
        <w:ind w:left="5369" w:hanging="361"/>
      </w:pPr>
      <w:rPr>
        <w:rFonts w:hint="default"/>
        <w:lang w:val="en-US" w:eastAsia="en-US" w:bidi="ar-SA"/>
      </w:rPr>
    </w:lvl>
    <w:lvl w:ilvl="8" w:tplc="C3FAC58E">
      <w:numFmt w:val="bullet"/>
      <w:lvlText w:val="•"/>
      <w:lvlJc w:val="left"/>
      <w:pPr>
        <w:ind w:left="6019" w:hanging="361"/>
      </w:pPr>
      <w:rPr>
        <w:rFonts w:hint="default"/>
        <w:lang w:val="en-US" w:eastAsia="en-US" w:bidi="ar-SA"/>
      </w:rPr>
    </w:lvl>
  </w:abstractNum>
  <w:abstractNum w:abstractNumId="33" w15:restartNumberingAfterBreak="0">
    <w:nsid w:val="696F11F6"/>
    <w:multiLevelType w:val="hybridMultilevel"/>
    <w:tmpl w:val="8766E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B24E34"/>
    <w:multiLevelType w:val="hybridMultilevel"/>
    <w:tmpl w:val="C250287C"/>
    <w:lvl w:ilvl="0" w:tplc="F76A2F92">
      <w:start w:val="1"/>
      <w:numFmt w:val="decimal"/>
      <w:lvlText w:val="%1."/>
      <w:lvlJc w:val="left"/>
      <w:pPr>
        <w:ind w:left="360" w:hanging="360"/>
      </w:pPr>
      <w:rPr>
        <w:rFonts w:ascii="Arial" w:hAnsi="Arial" w:hint="default"/>
        <w:b w:val="0"/>
        <w:i w:val="0"/>
        <w:color w:val="FF0000"/>
        <w:sz w:val="20"/>
        <w:u w:color="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533776D"/>
    <w:multiLevelType w:val="hybridMultilevel"/>
    <w:tmpl w:val="C7EAE8C0"/>
    <w:lvl w:ilvl="0" w:tplc="A8766306">
      <w:start w:val="1"/>
      <w:numFmt w:val="bullet"/>
      <w:lvlText w:val=""/>
      <w:lvlJc w:val="left"/>
      <w:pPr>
        <w:ind w:left="360" w:hanging="360"/>
      </w:pPr>
      <w:rPr>
        <w:rFonts w:ascii="Symbol" w:hAnsi="Symbol" w:hint="default"/>
        <w:color w:val="F4364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FC488E"/>
    <w:multiLevelType w:val="hybridMultilevel"/>
    <w:tmpl w:val="485A3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505651"/>
    <w:multiLevelType w:val="hybridMultilevel"/>
    <w:tmpl w:val="70668A98"/>
    <w:lvl w:ilvl="0" w:tplc="A8766306">
      <w:start w:val="1"/>
      <w:numFmt w:val="bullet"/>
      <w:lvlText w:val=""/>
      <w:lvlJc w:val="left"/>
      <w:pPr>
        <w:ind w:left="360" w:hanging="360"/>
      </w:pPr>
      <w:rPr>
        <w:rFonts w:ascii="Symbol" w:hAnsi="Symbol" w:hint="default"/>
        <w:color w:val="F4364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BB6B8F"/>
    <w:multiLevelType w:val="hybridMultilevel"/>
    <w:tmpl w:val="27F078C8"/>
    <w:lvl w:ilvl="0" w:tplc="A8766306">
      <w:start w:val="1"/>
      <w:numFmt w:val="bullet"/>
      <w:lvlText w:val=""/>
      <w:lvlJc w:val="left"/>
      <w:pPr>
        <w:ind w:left="360" w:hanging="360"/>
      </w:pPr>
      <w:rPr>
        <w:rFonts w:ascii="Symbol" w:hAnsi="Symbol" w:hint="default"/>
        <w:color w:val="F4364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421BDE"/>
    <w:multiLevelType w:val="hybridMultilevel"/>
    <w:tmpl w:val="B0A09E8A"/>
    <w:lvl w:ilvl="0" w:tplc="A8766306">
      <w:start w:val="1"/>
      <w:numFmt w:val="bullet"/>
      <w:lvlText w:val=""/>
      <w:lvlJc w:val="left"/>
      <w:pPr>
        <w:ind w:left="720" w:hanging="360"/>
      </w:pPr>
      <w:rPr>
        <w:rFonts w:ascii="Symbol" w:hAnsi="Symbol" w:hint="default"/>
        <w:color w:val="F4364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FE5D0C"/>
    <w:multiLevelType w:val="hybridMultilevel"/>
    <w:tmpl w:val="AFAE5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146385">
    <w:abstractNumId w:val="33"/>
  </w:num>
  <w:num w:numId="2" w16cid:durableId="994841808">
    <w:abstractNumId w:val="13"/>
  </w:num>
  <w:num w:numId="3" w16cid:durableId="1404251898">
    <w:abstractNumId w:val="36"/>
  </w:num>
  <w:num w:numId="4" w16cid:durableId="205726185">
    <w:abstractNumId w:val="16"/>
  </w:num>
  <w:num w:numId="5" w16cid:durableId="1187600939">
    <w:abstractNumId w:val="29"/>
  </w:num>
  <w:num w:numId="6" w16cid:durableId="2089383776">
    <w:abstractNumId w:val="22"/>
  </w:num>
  <w:num w:numId="7" w16cid:durableId="497039800">
    <w:abstractNumId w:val="32"/>
  </w:num>
  <w:num w:numId="8" w16cid:durableId="1485396034">
    <w:abstractNumId w:val="8"/>
  </w:num>
  <w:num w:numId="9" w16cid:durableId="1879587557">
    <w:abstractNumId w:val="4"/>
  </w:num>
  <w:num w:numId="10" w16cid:durableId="32463065">
    <w:abstractNumId w:val="24"/>
  </w:num>
  <w:num w:numId="11" w16cid:durableId="78450908">
    <w:abstractNumId w:val="34"/>
  </w:num>
  <w:num w:numId="12" w16cid:durableId="1096436595">
    <w:abstractNumId w:val="20"/>
  </w:num>
  <w:num w:numId="13" w16cid:durableId="29845868">
    <w:abstractNumId w:val="6"/>
  </w:num>
  <w:num w:numId="14" w16cid:durableId="1362895225">
    <w:abstractNumId w:val="28"/>
  </w:num>
  <w:num w:numId="15" w16cid:durableId="1317799687">
    <w:abstractNumId w:val="26"/>
  </w:num>
  <w:num w:numId="16" w16cid:durableId="2023318284">
    <w:abstractNumId w:val="0"/>
  </w:num>
  <w:num w:numId="17" w16cid:durableId="529336711">
    <w:abstractNumId w:val="9"/>
  </w:num>
  <w:num w:numId="18" w16cid:durableId="315302961">
    <w:abstractNumId w:val="18"/>
  </w:num>
  <w:num w:numId="19" w16cid:durableId="1290548787">
    <w:abstractNumId w:val="37"/>
  </w:num>
  <w:num w:numId="20" w16cid:durableId="1826628726">
    <w:abstractNumId w:val="2"/>
  </w:num>
  <w:num w:numId="21" w16cid:durableId="1075667435">
    <w:abstractNumId w:val="25"/>
  </w:num>
  <w:num w:numId="22" w16cid:durableId="530455824">
    <w:abstractNumId w:val="3"/>
  </w:num>
  <w:num w:numId="23" w16cid:durableId="1973975335">
    <w:abstractNumId w:val="17"/>
  </w:num>
  <w:num w:numId="24" w16cid:durableId="1291399728">
    <w:abstractNumId w:val="12"/>
  </w:num>
  <w:num w:numId="25" w16cid:durableId="1643654811">
    <w:abstractNumId w:val="7"/>
  </w:num>
  <w:num w:numId="26" w16cid:durableId="483357157">
    <w:abstractNumId w:val="15"/>
  </w:num>
  <w:num w:numId="27" w16cid:durableId="987249686">
    <w:abstractNumId w:val="31"/>
  </w:num>
  <w:num w:numId="28" w16cid:durableId="1060665326">
    <w:abstractNumId w:val="21"/>
  </w:num>
  <w:num w:numId="29" w16cid:durableId="354695198">
    <w:abstractNumId w:val="11"/>
  </w:num>
  <w:num w:numId="30" w16cid:durableId="1758399845">
    <w:abstractNumId w:val="1"/>
  </w:num>
  <w:num w:numId="31" w16cid:durableId="1871792726">
    <w:abstractNumId w:val="40"/>
  </w:num>
  <w:num w:numId="32" w16cid:durableId="622079730">
    <w:abstractNumId w:val="10"/>
  </w:num>
  <w:num w:numId="33" w16cid:durableId="69427764">
    <w:abstractNumId w:val="30"/>
  </w:num>
  <w:num w:numId="34" w16cid:durableId="1093359874">
    <w:abstractNumId w:val="27"/>
  </w:num>
  <w:num w:numId="35" w16cid:durableId="1066028753">
    <w:abstractNumId w:val="39"/>
  </w:num>
  <w:num w:numId="36" w16cid:durableId="269246720">
    <w:abstractNumId w:val="5"/>
  </w:num>
  <w:num w:numId="37" w16cid:durableId="665130022">
    <w:abstractNumId w:val="19"/>
  </w:num>
  <w:num w:numId="38" w16cid:durableId="593517568">
    <w:abstractNumId w:val="14"/>
  </w:num>
  <w:num w:numId="39" w16cid:durableId="1101339555">
    <w:abstractNumId w:val="35"/>
  </w:num>
  <w:num w:numId="40" w16cid:durableId="657612191">
    <w:abstractNumId w:val="38"/>
  </w:num>
  <w:num w:numId="41" w16cid:durableId="575609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71"/>
    <w:rsid w:val="00001F4D"/>
    <w:rsid w:val="00026444"/>
    <w:rsid w:val="000337F0"/>
    <w:rsid w:val="00033A92"/>
    <w:rsid w:val="00052BD4"/>
    <w:rsid w:val="00060A5D"/>
    <w:rsid w:val="00071AB5"/>
    <w:rsid w:val="0007300D"/>
    <w:rsid w:val="0007504D"/>
    <w:rsid w:val="00075390"/>
    <w:rsid w:val="00077284"/>
    <w:rsid w:val="00077556"/>
    <w:rsid w:val="00091218"/>
    <w:rsid w:val="000949FC"/>
    <w:rsid w:val="000B251E"/>
    <w:rsid w:val="000D503A"/>
    <w:rsid w:val="000E68A6"/>
    <w:rsid w:val="000E7B0A"/>
    <w:rsid w:val="000F4C34"/>
    <w:rsid w:val="000F6D9B"/>
    <w:rsid w:val="00102680"/>
    <w:rsid w:val="00127F33"/>
    <w:rsid w:val="0014219D"/>
    <w:rsid w:val="001422DD"/>
    <w:rsid w:val="001432FE"/>
    <w:rsid w:val="00145A21"/>
    <w:rsid w:val="00146C65"/>
    <w:rsid w:val="00152FE7"/>
    <w:rsid w:val="00156721"/>
    <w:rsid w:val="001813D4"/>
    <w:rsid w:val="00182434"/>
    <w:rsid w:val="00184DAF"/>
    <w:rsid w:val="00187D51"/>
    <w:rsid w:val="001B7DCE"/>
    <w:rsid w:val="001C73FD"/>
    <w:rsid w:val="001F057A"/>
    <w:rsid w:val="001F4970"/>
    <w:rsid w:val="0020393C"/>
    <w:rsid w:val="00213638"/>
    <w:rsid w:val="00221F5F"/>
    <w:rsid w:val="00226A79"/>
    <w:rsid w:val="002300B4"/>
    <w:rsid w:val="0024193C"/>
    <w:rsid w:val="00246C84"/>
    <w:rsid w:val="002748D0"/>
    <w:rsid w:val="00284ABE"/>
    <w:rsid w:val="002B00F1"/>
    <w:rsid w:val="002B1B9B"/>
    <w:rsid w:val="002D1664"/>
    <w:rsid w:val="002D7B4E"/>
    <w:rsid w:val="002E2C41"/>
    <w:rsid w:val="00303006"/>
    <w:rsid w:val="003231E1"/>
    <w:rsid w:val="00330A71"/>
    <w:rsid w:val="00331C73"/>
    <w:rsid w:val="003346EC"/>
    <w:rsid w:val="003424DD"/>
    <w:rsid w:val="00346F2E"/>
    <w:rsid w:val="00352AA3"/>
    <w:rsid w:val="00360A87"/>
    <w:rsid w:val="00363C3D"/>
    <w:rsid w:val="00375961"/>
    <w:rsid w:val="00381B66"/>
    <w:rsid w:val="00384800"/>
    <w:rsid w:val="00385DE7"/>
    <w:rsid w:val="003A215E"/>
    <w:rsid w:val="003A5C91"/>
    <w:rsid w:val="003A62D9"/>
    <w:rsid w:val="003B1E02"/>
    <w:rsid w:val="003C3CEC"/>
    <w:rsid w:val="003C580A"/>
    <w:rsid w:val="003C63D9"/>
    <w:rsid w:val="003E467E"/>
    <w:rsid w:val="003F15E5"/>
    <w:rsid w:val="003F3410"/>
    <w:rsid w:val="003F4B94"/>
    <w:rsid w:val="0043076B"/>
    <w:rsid w:val="00433ABE"/>
    <w:rsid w:val="00445CC4"/>
    <w:rsid w:val="00446171"/>
    <w:rsid w:val="00474413"/>
    <w:rsid w:val="00480534"/>
    <w:rsid w:val="00481599"/>
    <w:rsid w:val="00485DD5"/>
    <w:rsid w:val="004C0CA3"/>
    <w:rsid w:val="004C0F2D"/>
    <w:rsid w:val="004D1FC9"/>
    <w:rsid w:val="004E4FA6"/>
    <w:rsid w:val="004F5BD2"/>
    <w:rsid w:val="00513096"/>
    <w:rsid w:val="00514FE9"/>
    <w:rsid w:val="00526B4B"/>
    <w:rsid w:val="0053174E"/>
    <w:rsid w:val="00531DFC"/>
    <w:rsid w:val="00542D08"/>
    <w:rsid w:val="005509D3"/>
    <w:rsid w:val="00564AF9"/>
    <w:rsid w:val="005840FE"/>
    <w:rsid w:val="005866D2"/>
    <w:rsid w:val="00592138"/>
    <w:rsid w:val="005943F5"/>
    <w:rsid w:val="005B0C46"/>
    <w:rsid w:val="005B646F"/>
    <w:rsid w:val="005C62B4"/>
    <w:rsid w:val="005F08CB"/>
    <w:rsid w:val="005F0B54"/>
    <w:rsid w:val="005F354E"/>
    <w:rsid w:val="005F7361"/>
    <w:rsid w:val="00600D80"/>
    <w:rsid w:val="00601F92"/>
    <w:rsid w:val="00610431"/>
    <w:rsid w:val="00620202"/>
    <w:rsid w:val="00630FC5"/>
    <w:rsid w:val="00647DAB"/>
    <w:rsid w:val="00662111"/>
    <w:rsid w:val="006645E3"/>
    <w:rsid w:val="00665DBA"/>
    <w:rsid w:val="0067224F"/>
    <w:rsid w:val="00680A58"/>
    <w:rsid w:val="00684BB4"/>
    <w:rsid w:val="006A0B96"/>
    <w:rsid w:val="006A1E2C"/>
    <w:rsid w:val="006A25D8"/>
    <w:rsid w:val="006B0BE4"/>
    <w:rsid w:val="006C4DDD"/>
    <w:rsid w:val="006D3437"/>
    <w:rsid w:val="006D6EE4"/>
    <w:rsid w:val="006F3CD4"/>
    <w:rsid w:val="00704447"/>
    <w:rsid w:val="00712921"/>
    <w:rsid w:val="00717B07"/>
    <w:rsid w:val="00722278"/>
    <w:rsid w:val="00741984"/>
    <w:rsid w:val="00741A91"/>
    <w:rsid w:val="007439BD"/>
    <w:rsid w:val="00753552"/>
    <w:rsid w:val="007613F0"/>
    <w:rsid w:val="00764983"/>
    <w:rsid w:val="00773A38"/>
    <w:rsid w:val="007C37E1"/>
    <w:rsid w:val="007C6DC4"/>
    <w:rsid w:val="007D7370"/>
    <w:rsid w:val="007E58AE"/>
    <w:rsid w:val="007F11E1"/>
    <w:rsid w:val="007F324C"/>
    <w:rsid w:val="008056C8"/>
    <w:rsid w:val="00805F6A"/>
    <w:rsid w:val="008068B4"/>
    <w:rsid w:val="0081174C"/>
    <w:rsid w:val="008304FF"/>
    <w:rsid w:val="00830CC9"/>
    <w:rsid w:val="00835B2D"/>
    <w:rsid w:val="00836E72"/>
    <w:rsid w:val="00841365"/>
    <w:rsid w:val="00841963"/>
    <w:rsid w:val="00844953"/>
    <w:rsid w:val="00856270"/>
    <w:rsid w:val="0086198E"/>
    <w:rsid w:val="00880BED"/>
    <w:rsid w:val="00882CE3"/>
    <w:rsid w:val="00886CD7"/>
    <w:rsid w:val="00893C85"/>
    <w:rsid w:val="008A553D"/>
    <w:rsid w:val="008C44BA"/>
    <w:rsid w:val="008C5C61"/>
    <w:rsid w:val="008F2812"/>
    <w:rsid w:val="009054E4"/>
    <w:rsid w:val="00914E3C"/>
    <w:rsid w:val="009507C2"/>
    <w:rsid w:val="00965CBF"/>
    <w:rsid w:val="0096620D"/>
    <w:rsid w:val="00966412"/>
    <w:rsid w:val="00981A03"/>
    <w:rsid w:val="009A53FF"/>
    <w:rsid w:val="009C0A99"/>
    <w:rsid w:val="009D29AE"/>
    <w:rsid w:val="009F3910"/>
    <w:rsid w:val="00A06E12"/>
    <w:rsid w:val="00A17E1D"/>
    <w:rsid w:val="00A2073A"/>
    <w:rsid w:val="00A41244"/>
    <w:rsid w:val="00A41C54"/>
    <w:rsid w:val="00A4329D"/>
    <w:rsid w:val="00A44C15"/>
    <w:rsid w:val="00A50FB6"/>
    <w:rsid w:val="00A5391D"/>
    <w:rsid w:val="00A54508"/>
    <w:rsid w:val="00A5656C"/>
    <w:rsid w:val="00A72698"/>
    <w:rsid w:val="00A74772"/>
    <w:rsid w:val="00A77678"/>
    <w:rsid w:val="00A80C6A"/>
    <w:rsid w:val="00A826D2"/>
    <w:rsid w:val="00A86623"/>
    <w:rsid w:val="00AC0C90"/>
    <w:rsid w:val="00AC6941"/>
    <w:rsid w:val="00AE19AB"/>
    <w:rsid w:val="00AE23B4"/>
    <w:rsid w:val="00AF1D1D"/>
    <w:rsid w:val="00B066BA"/>
    <w:rsid w:val="00B1212C"/>
    <w:rsid w:val="00B164E6"/>
    <w:rsid w:val="00B44167"/>
    <w:rsid w:val="00B52BC1"/>
    <w:rsid w:val="00B54CC0"/>
    <w:rsid w:val="00B6325F"/>
    <w:rsid w:val="00B6712A"/>
    <w:rsid w:val="00B7049E"/>
    <w:rsid w:val="00B70DE1"/>
    <w:rsid w:val="00B75DC4"/>
    <w:rsid w:val="00B816BE"/>
    <w:rsid w:val="00B82183"/>
    <w:rsid w:val="00B97F52"/>
    <w:rsid w:val="00BA3790"/>
    <w:rsid w:val="00BA3F94"/>
    <w:rsid w:val="00BB4214"/>
    <w:rsid w:val="00BB618E"/>
    <w:rsid w:val="00BC1BA3"/>
    <w:rsid w:val="00BC7043"/>
    <w:rsid w:val="00BD2E96"/>
    <w:rsid w:val="00BD5761"/>
    <w:rsid w:val="00BE28F8"/>
    <w:rsid w:val="00BE7F03"/>
    <w:rsid w:val="00BF741C"/>
    <w:rsid w:val="00BF7837"/>
    <w:rsid w:val="00C025B2"/>
    <w:rsid w:val="00C037A5"/>
    <w:rsid w:val="00C07B33"/>
    <w:rsid w:val="00C12BB5"/>
    <w:rsid w:val="00C23B3B"/>
    <w:rsid w:val="00C35EBB"/>
    <w:rsid w:val="00C35F79"/>
    <w:rsid w:val="00C375B9"/>
    <w:rsid w:val="00C419B4"/>
    <w:rsid w:val="00C4435A"/>
    <w:rsid w:val="00C45C2E"/>
    <w:rsid w:val="00C502CB"/>
    <w:rsid w:val="00C50675"/>
    <w:rsid w:val="00C636C8"/>
    <w:rsid w:val="00C7014F"/>
    <w:rsid w:val="00C93DEC"/>
    <w:rsid w:val="00CA3726"/>
    <w:rsid w:val="00CB6AEB"/>
    <w:rsid w:val="00CC7A58"/>
    <w:rsid w:val="00CD2766"/>
    <w:rsid w:val="00CF06A2"/>
    <w:rsid w:val="00CF0DF8"/>
    <w:rsid w:val="00D11E02"/>
    <w:rsid w:val="00D235C9"/>
    <w:rsid w:val="00D53636"/>
    <w:rsid w:val="00D61897"/>
    <w:rsid w:val="00D6739F"/>
    <w:rsid w:val="00D75021"/>
    <w:rsid w:val="00D76444"/>
    <w:rsid w:val="00DA2631"/>
    <w:rsid w:val="00DA402A"/>
    <w:rsid w:val="00DA498E"/>
    <w:rsid w:val="00DA5B71"/>
    <w:rsid w:val="00DB034B"/>
    <w:rsid w:val="00DB437A"/>
    <w:rsid w:val="00DD2CA6"/>
    <w:rsid w:val="00DF2F83"/>
    <w:rsid w:val="00DF711F"/>
    <w:rsid w:val="00E0524F"/>
    <w:rsid w:val="00E23B39"/>
    <w:rsid w:val="00E26BC9"/>
    <w:rsid w:val="00E35C1A"/>
    <w:rsid w:val="00E36BA8"/>
    <w:rsid w:val="00E44990"/>
    <w:rsid w:val="00E46815"/>
    <w:rsid w:val="00E528C9"/>
    <w:rsid w:val="00E63D78"/>
    <w:rsid w:val="00E64CE8"/>
    <w:rsid w:val="00E7111B"/>
    <w:rsid w:val="00E730B9"/>
    <w:rsid w:val="00E81EA4"/>
    <w:rsid w:val="00E83692"/>
    <w:rsid w:val="00E91C03"/>
    <w:rsid w:val="00E975C3"/>
    <w:rsid w:val="00EA7EBC"/>
    <w:rsid w:val="00EB1762"/>
    <w:rsid w:val="00EB286B"/>
    <w:rsid w:val="00EB4713"/>
    <w:rsid w:val="00EC780D"/>
    <w:rsid w:val="00ED6DC2"/>
    <w:rsid w:val="00EF73D1"/>
    <w:rsid w:val="00F15D0B"/>
    <w:rsid w:val="00F25369"/>
    <w:rsid w:val="00F404DC"/>
    <w:rsid w:val="00F535FF"/>
    <w:rsid w:val="00F5597D"/>
    <w:rsid w:val="00F75234"/>
    <w:rsid w:val="00FB4A7F"/>
    <w:rsid w:val="00FC14EB"/>
    <w:rsid w:val="00FD61F3"/>
    <w:rsid w:val="00FE2F9A"/>
    <w:rsid w:val="00FE6B3D"/>
    <w:rsid w:val="00FF5A13"/>
    <w:rsid w:val="0911381D"/>
    <w:rsid w:val="198C4F83"/>
    <w:rsid w:val="332DF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8C0C8"/>
  <w15:chartTrackingRefBased/>
  <w15:docId w15:val="{3FB392AD-AF7F-471B-9788-3B94A64A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DDD"/>
    <w:rPr>
      <w:rFonts w:ascii="Arial" w:hAnsi="Arial"/>
      <w:sz w:val="24"/>
    </w:rPr>
  </w:style>
  <w:style w:type="paragraph" w:styleId="Heading1">
    <w:name w:val="heading 1"/>
    <w:basedOn w:val="Normal"/>
    <w:next w:val="Normal"/>
    <w:link w:val="Heading1Char"/>
    <w:uiPriority w:val="9"/>
    <w:qFormat/>
    <w:rsid w:val="000F4C34"/>
    <w:pPr>
      <w:keepNext/>
      <w:keepLines/>
      <w:spacing w:before="240"/>
      <w:outlineLvl w:val="0"/>
    </w:pPr>
    <w:rPr>
      <w:rFonts w:eastAsiaTheme="majorEastAsia" w:cstheme="majorBidi"/>
      <w:b/>
      <w:sz w:val="48"/>
      <w:szCs w:val="32"/>
    </w:rPr>
  </w:style>
  <w:style w:type="paragraph" w:styleId="Heading2">
    <w:name w:val="heading 2"/>
    <w:basedOn w:val="Normal"/>
    <w:next w:val="Normal"/>
    <w:link w:val="Heading2Char"/>
    <w:uiPriority w:val="9"/>
    <w:unhideWhenUsed/>
    <w:qFormat/>
    <w:rsid w:val="000F4C34"/>
    <w:pPr>
      <w:keepNext/>
      <w:keepLines/>
      <w:spacing w:before="40"/>
      <w:outlineLvl w:val="1"/>
    </w:pPr>
    <w:rPr>
      <w:rFonts w:eastAsiaTheme="majorEastAsia" w:cstheme="majorBidi"/>
      <w:b/>
      <w:color w:val="FF0000"/>
      <w:sz w:val="28"/>
      <w:szCs w:val="26"/>
    </w:rPr>
  </w:style>
  <w:style w:type="paragraph" w:styleId="Heading3">
    <w:name w:val="heading 3"/>
    <w:basedOn w:val="Normal"/>
    <w:next w:val="Normal"/>
    <w:link w:val="Heading3Char"/>
    <w:uiPriority w:val="9"/>
    <w:unhideWhenUsed/>
    <w:qFormat/>
    <w:rsid w:val="000F4C34"/>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D78"/>
    <w:pPr>
      <w:ind w:left="720"/>
      <w:contextualSpacing/>
    </w:pPr>
  </w:style>
  <w:style w:type="character" w:styleId="Hyperlink">
    <w:name w:val="Hyperlink"/>
    <w:basedOn w:val="DefaultParagraphFont"/>
    <w:uiPriority w:val="99"/>
    <w:unhideWhenUsed/>
    <w:rsid w:val="009507C2"/>
    <w:rPr>
      <w:color w:val="0563C1"/>
      <w:u w:val="single"/>
    </w:rPr>
  </w:style>
  <w:style w:type="character" w:styleId="UnresolvedMention">
    <w:name w:val="Unresolved Mention"/>
    <w:basedOn w:val="DefaultParagraphFont"/>
    <w:uiPriority w:val="99"/>
    <w:semiHidden/>
    <w:unhideWhenUsed/>
    <w:rsid w:val="00C12BB5"/>
    <w:rPr>
      <w:color w:val="605E5C"/>
      <w:shd w:val="clear" w:color="auto" w:fill="E1DFDD"/>
    </w:rPr>
  </w:style>
  <w:style w:type="paragraph" w:styleId="Header">
    <w:name w:val="header"/>
    <w:basedOn w:val="Normal"/>
    <w:link w:val="HeaderChar"/>
    <w:uiPriority w:val="99"/>
    <w:unhideWhenUsed/>
    <w:rsid w:val="000D503A"/>
    <w:pPr>
      <w:tabs>
        <w:tab w:val="center" w:pos="4513"/>
        <w:tab w:val="right" w:pos="9026"/>
      </w:tabs>
    </w:pPr>
  </w:style>
  <w:style w:type="character" w:customStyle="1" w:styleId="HeaderChar">
    <w:name w:val="Header Char"/>
    <w:basedOn w:val="DefaultParagraphFont"/>
    <w:link w:val="Header"/>
    <w:uiPriority w:val="99"/>
    <w:rsid w:val="000D503A"/>
  </w:style>
  <w:style w:type="paragraph" w:styleId="Footer">
    <w:name w:val="footer"/>
    <w:basedOn w:val="Normal"/>
    <w:link w:val="FooterChar"/>
    <w:uiPriority w:val="99"/>
    <w:unhideWhenUsed/>
    <w:rsid w:val="000D503A"/>
    <w:pPr>
      <w:tabs>
        <w:tab w:val="center" w:pos="4513"/>
        <w:tab w:val="right" w:pos="9026"/>
      </w:tabs>
    </w:pPr>
  </w:style>
  <w:style w:type="character" w:customStyle="1" w:styleId="FooterChar">
    <w:name w:val="Footer Char"/>
    <w:basedOn w:val="DefaultParagraphFont"/>
    <w:link w:val="Footer"/>
    <w:uiPriority w:val="99"/>
    <w:rsid w:val="000D503A"/>
  </w:style>
  <w:style w:type="paragraph" w:styleId="BodyText">
    <w:name w:val="Body Text"/>
    <w:basedOn w:val="Normal"/>
    <w:link w:val="BodyTextChar"/>
    <w:uiPriority w:val="1"/>
    <w:qFormat/>
    <w:rsid w:val="00B54CC0"/>
    <w:pPr>
      <w:widowControl w:val="0"/>
      <w:autoSpaceDE w:val="0"/>
      <w:autoSpaceDN w:val="0"/>
    </w:pPr>
    <w:rPr>
      <w:rFonts w:ascii="Corbel" w:eastAsia="Corbel" w:hAnsi="Corbel" w:cs="Corbel"/>
      <w:kern w:val="0"/>
      <w:sz w:val="16"/>
      <w:szCs w:val="16"/>
      <w:lang w:val="en-US"/>
      <w14:ligatures w14:val="none"/>
    </w:rPr>
  </w:style>
  <w:style w:type="character" w:customStyle="1" w:styleId="BodyTextChar">
    <w:name w:val="Body Text Char"/>
    <w:basedOn w:val="DefaultParagraphFont"/>
    <w:link w:val="BodyText"/>
    <w:uiPriority w:val="1"/>
    <w:rsid w:val="00B54CC0"/>
    <w:rPr>
      <w:rFonts w:ascii="Corbel" w:eastAsia="Corbel" w:hAnsi="Corbel" w:cs="Corbel"/>
      <w:kern w:val="0"/>
      <w:sz w:val="16"/>
      <w:szCs w:val="16"/>
      <w:lang w:val="en-US"/>
      <w14:ligatures w14:val="none"/>
    </w:rPr>
  </w:style>
  <w:style w:type="paragraph" w:styleId="Title">
    <w:name w:val="Title"/>
    <w:basedOn w:val="Normal"/>
    <w:link w:val="TitleChar"/>
    <w:uiPriority w:val="10"/>
    <w:qFormat/>
    <w:rsid w:val="00B54CC0"/>
    <w:pPr>
      <w:widowControl w:val="0"/>
      <w:autoSpaceDE w:val="0"/>
      <w:autoSpaceDN w:val="0"/>
      <w:spacing w:before="27"/>
      <w:jc w:val="center"/>
    </w:pPr>
    <w:rPr>
      <w:rFonts w:ascii="Calibri" w:eastAsia="Calibri" w:hAnsi="Calibri" w:cs="Calibri"/>
      <w:kern w:val="0"/>
      <w:sz w:val="36"/>
      <w:szCs w:val="36"/>
      <w:u w:val="single" w:color="000000"/>
      <w:lang w:val="en-US"/>
      <w14:ligatures w14:val="none"/>
    </w:rPr>
  </w:style>
  <w:style w:type="character" w:customStyle="1" w:styleId="TitleChar">
    <w:name w:val="Title Char"/>
    <w:basedOn w:val="DefaultParagraphFont"/>
    <w:link w:val="Title"/>
    <w:uiPriority w:val="10"/>
    <w:rsid w:val="00B54CC0"/>
    <w:rPr>
      <w:rFonts w:ascii="Calibri" w:eastAsia="Calibri" w:hAnsi="Calibri" w:cs="Calibri"/>
      <w:kern w:val="0"/>
      <w:sz w:val="36"/>
      <w:szCs w:val="36"/>
      <w:u w:val="single" w:color="000000"/>
      <w:lang w:val="en-US"/>
      <w14:ligatures w14:val="none"/>
    </w:rPr>
  </w:style>
  <w:style w:type="paragraph" w:customStyle="1" w:styleId="TableParagraph">
    <w:name w:val="Table Paragraph"/>
    <w:basedOn w:val="Normal"/>
    <w:uiPriority w:val="1"/>
    <w:qFormat/>
    <w:rsid w:val="00B54CC0"/>
    <w:pPr>
      <w:widowControl w:val="0"/>
      <w:autoSpaceDE w:val="0"/>
      <w:autoSpaceDN w:val="0"/>
      <w:spacing w:before="116"/>
      <w:ind w:left="107"/>
    </w:pPr>
    <w:rPr>
      <w:rFonts w:ascii="Calibri" w:eastAsia="Calibri" w:hAnsi="Calibri" w:cs="Calibri"/>
      <w:kern w:val="0"/>
      <w:lang w:val="en-US"/>
      <w14:ligatures w14:val="none"/>
    </w:rPr>
  </w:style>
  <w:style w:type="character" w:styleId="FootnoteReference">
    <w:name w:val="footnote reference"/>
    <w:basedOn w:val="DefaultParagraphFont"/>
    <w:uiPriority w:val="99"/>
    <w:semiHidden/>
    <w:unhideWhenUsed/>
    <w:rsid w:val="00A80C6A"/>
    <w:rPr>
      <w:vertAlign w:val="superscript"/>
    </w:rPr>
  </w:style>
  <w:style w:type="paragraph" w:styleId="FootnoteText">
    <w:name w:val="footnote text"/>
    <w:basedOn w:val="Normal"/>
    <w:link w:val="FootnoteTextChar"/>
    <w:uiPriority w:val="99"/>
    <w:semiHidden/>
    <w:unhideWhenUsed/>
    <w:rsid w:val="006B0BE4"/>
    <w:rPr>
      <w:sz w:val="20"/>
      <w:szCs w:val="20"/>
    </w:rPr>
  </w:style>
  <w:style w:type="character" w:customStyle="1" w:styleId="FootnoteTextChar">
    <w:name w:val="Footnote Text Char"/>
    <w:basedOn w:val="DefaultParagraphFont"/>
    <w:link w:val="FootnoteText"/>
    <w:uiPriority w:val="99"/>
    <w:semiHidden/>
    <w:rsid w:val="006B0BE4"/>
    <w:rPr>
      <w:sz w:val="20"/>
      <w:szCs w:val="20"/>
    </w:rPr>
  </w:style>
  <w:style w:type="character" w:customStyle="1" w:styleId="Heading1Char">
    <w:name w:val="Heading 1 Char"/>
    <w:basedOn w:val="DefaultParagraphFont"/>
    <w:link w:val="Heading1"/>
    <w:uiPriority w:val="9"/>
    <w:rsid w:val="000F4C34"/>
    <w:rPr>
      <w:rFonts w:ascii="Arial" w:eastAsiaTheme="majorEastAsia" w:hAnsi="Arial" w:cstheme="majorBidi"/>
      <w:b/>
      <w:sz w:val="48"/>
      <w:szCs w:val="32"/>
    </w:rPr>
  </w:style>
  <w:style w:type="character" w:customStyle="1" w:styleId="Heading2Char">
    <w:name w:val="Heading 2 Char"/>
    <w:basedOn w:val="DefaultParagraphFont"/>
    <w:link w:val="Heading2"/>
    <w:uiPriority w:val="9"/>
    <w:rsid w:val="000F4C34"/>
    <w:rPr>
      <w:rFonts w:ascii="Arial" w:eastAsiaTheme="majorEastAsia" w:hAnsi="Arial" w:cstheme="majorBidi"/>
      <w:b/>
      <w:color w:val="FF0000"/>
      <w:sz w:val="28"/>
      <w:szCs w:val="26"/>
    </w:rPr>
  </w:style>
  <w:style w:type="character" w:customStyle="1" w:styleId="Heading3Char">
    <w:name w:val="Heading 3 Char"/>
    <w:basedOn w:val="DefaultParagraphFont"/>
    <w:link w:val="Heading3"/>
    <w:uiPriority w:val="9"/>
    <w:rsid w:val="000F4C34"/>
    <w:rPr>
      <w:rFonts w:ascii="Arial" w:eastAsiaTheme="majorEastAsia" w:hAnsi="Arial" w:cstheme="majorBidi"/>
      <w:b/>
      <w:sz w:val="24"/>
      <w:szCs w:val="24"/>
    </w:rPr>
  </w:style>
  <w:style w:type="table" w:styleId="TableGrid">
    <w:name w:val="Table Grid"/>
    <w:basedOn w:val="TableNormal"/>
    <w:uiPriority w:val="39"/>
    <w:rsid w:val="000E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BC7043"/>
    <w:pPr>
      <w:spacing w:before="100"/>
    </w:pPr>
    <w:rPr>
      <w:rFonts w:eastAsiaTheme="minorEastAsia"/>
      <w:kern w:val="0"/>
      <w:sz w:val="20"/>
      <w:szCs w:val="20"/>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oSpacing">
    <w:name w:val="No Spacing"/>
    <w:link w:val="NoSpacingChar"/>
    <w:uiPriority w:val="1"/>
    <w:qFormat/>
    <w:rsid w:val="005943F5"/>
    <w:pPr>
      <w:spacing w:before="100"/>
    </w:pPr>
    <w:rPr>
      <w:rFonts w:eastAsiaTheme="minorEastAsia"/>
      <w:kern w:val="0"/>
      <w:sz w:val="20"/>
      <w:szCs w:val="20"/>
      <w14:ligatures w14:val="none"/>
    </w:rPr>
  </w:style>
  <w:style w:type="character" w:customStyle="1" w:styleId="NoSpacingChar">
    <w:name w:val="No Spacing Char"/>
    <w:basedOn w:val="DefaultParagraphFont"/>
    <w:link w:val="NoSpacing"/>
    <w:uiPriority w:val="1"/>
    <w:rsid w:val="005943F5"/>
    <w:rPr>
      <w:rFonts w:eastAsiaTheme="minorEastAsia"/>
      <w:kern w:val="0"/>
      <w:sz w:val="20"/>
      <w:szCs w:val="20"/>
      <w14:ligatures w14:val="none"/>
    </w:rPr>
  </w:style>
  <w:style w:type="table" w:styleId="ListTable4-Accent6">
    <w:name w:val="List Table 4 Accent 6"/>
    <w:basedOn w:val="TableNormal"/>
    <w:uiPriority w:val="49"/>
    <w:rsid w:val="00346F2E"/>
    <w:pPr>
      <w:spacing w:before="100"/>
    </w:pPr>
    <w:rPr>
      <w:rFonts w:eastAsiaTheme="minorEastAsia"/>
      <w:kern w:val="0"/>
      <w:sz w:val="20"/>
      <w:szCs w:val="2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C4435A"/>
    <w:pPr>
      <w:spacing w:line="259" w:lineRule="auto"/>
      <w:outlineLvl w:val="9"/>
    </w:pPr>
    <w:rPr>
      <w:rFonts w:asciiTheme="majorHAnsi" w:hAnsiTheme="majorHAnsi"/>
      <w:b w:val="0"/>
      <w:color w:val="2F5496" w:themeColor="accent1" w:themeShade="BF"/>
      <w:kern w:val="0"/>
      <w:sz w:val="32"/>
      <w:lang w:eastAsia="en-GB"/>
      <w14:ligatures w14:val="none"/>
    </w:rPr>
  </w:style>
  <w:style w:type="paragraph" w:styleId="TOC1">
    <w:name w:val="toc 1"/>
    <w:basedOn w:val="Normal"/>
    <w:next w:val="Normal"/>
    <w:autoRedefine/>
    <w:uiPriority w:val="39"/>
    <w:unhideWhenUsed/>
    <w:rsid w:val="00C4435A"/>
    <w:pPr>
      <w:spacing w:after="100"/>
    </w:pPr>
  </w:style>
  <w:style w:type="paragraph" w:styleId="TOC2">
    <w:name w:val="toc 2"/>
    <w:basedOn w:val="Normal"/>
    <w:next w:val="Normal"/>
    <w:autoRedefine/>
    <w:uiPriority w:val="39"/>
    <w:unhideWhenUsed/>
    <w:rsid w:val="00C4435A"/>
    <w:pPr>
      <w:spacing w:after="100"/>
      <w:ind w:left="240"/>
    </w:pPr>
  </w:style>
  <w:style w:type="paragraph" w:styleId="TOC3">
    <w:name w:val="toc 3"/>
    <w:basedOn w:val="Normal"/>
    <w:next w:val="Normal"/>
    <w:autoRedefine/>
    <w:uiPriority w:val="39"/>
    <w:unhideWhenUsed/>
    <w:rsid w:val="00C4435A"/>
    <w:pPr>
      <w:spacing w:after="100"/>
      <w:ind w:left="480"/>
    </w:pPr>
  </w:style>
  <w:style w:type="paragraph" w:styleId="Revision">
    <w:name w:val="Revision"/>
    <w:hidden/>
    <w:uiPriority w:val="99"/>
    <w:semiHidden/>
    <w:rsid w:val="00EB1762"/>
    <w:rPr>
      <w:rFonts w:ascii="Arial" w:hAnsi="Arial"/>
      <w:sz w:val="24"/>
    </w:rPr>
  </w:style>
  <w:style w:type="character" w:styleId="CommentReference">
    <w:name w:val="annotation reference"/>
    <w:basedOn w:val="DefaultParagraphFont"/>
    <w:uiPriority w:val="99"/>
    <w:semiHidden/>
    <w:unhideWhenUsed/>
    <w:rsid w:val="00B97F52"/>
    <w:rPr>
      <w:sz w:val="16"/>
      <w:szCs w:val="16"/>
    </w:rPr>
  </w:style>
  <w:style w:type="paragraph" w:styleId="CommentText">
    <w:name w:val="annotation text"/>
    <w:basedOn w:val="Normal"/>
    <w:link w:val="CommentTextChar"/>
    <w:uiPriority w:val="99"/>
    <w:unhideWhenUsed/>
    <w:rsid w:val="00B97F52"/>
    <w:rPr>
      <w:sz w:val="20"/>
      <w:szCs w:val="20"/>
    </w:rPr>
  </w:style>
  <w:style w:type="character" w:customStyle="1" w:styleId="CommentTextChar">
    <w:name w:val="Comment Text Char"/>
    <w:basedOn w:val="DefaultParagraphFont"/>
    <w:link w:val="CommentText"/>
    <w:uiPriority w:val="99"/>
    <w:rsid w:val="00B97F5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97F52"/>
    <w:rPr>
      <w:b/>
      <w:bCs/>
    </w:rPr>
  </w:style>
  <w:style w:type="character" w:customStyle="1" w:styleId="CommentSubjectChar">
    <w:name w:val="Comment Subject Char"/>
    <w:basedOn w:val="CommentTextChar"/>
    <w:link w:val="CommentSubject"/>
    <w:uiPriority w:val="99"/>
    <w:semiHidden/>
    <w:rsid w:val="00B97F5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39364">
      <w:bodyDiv w:val="1"/>
      <w:marLeft w:val="0"/>
      <w:marRight w:val="0"/>
      <w:marTop w:val="0"/>
      <w:marBottom w:val="0"/>
      <w:divBdr>
        <w:top w:val="none" w:sz="0" w:space="0" w:color="auto"/>
        <w:left w:val="none" w:sz="0" w:space="0" w:color="auto"/>
        <w:bottom w:val="none" w:sz="0" w:space="0" w:color="auto"/>
        <w:right w:val="none" w:sz="0" w:space="0" w:color="auto"/>
      </w:divBdr>
    </w:div>
    <w:div w:id="1022433064">
      <w:bodyDiv w:val="1"/>
      <w:marLeft w:val="0"/>
      <w:marRight w:val="0"/>
      <w:marTop w:val="0"/>
      <w:marBottom w:val="0"/>
      <w:divBdr>
        <w:top w:val="none" w:sz="0" w:space="0" w:color="auto"/>
        <w:left w:val="none" w:sz="0" w:space="0" w:color="auto"/>
        <w:bottom w:val="none" w:sz="0" w:space="0" w:color="auto"/>
        <w:right w:val="none" w:sz="0" w:space="0" w:color="auto"/>
      </w:divBdr>
    </w:div>
    <w:div w:id="1610237780">
      <w:bodyDiv w:val="1"/>
      <w:marLeft w:val="0"/>
      <w:marRight w:val="0"/>
      <w:marTop w:val="0"/>
      <w:marBottom w:val="0"/>
      <w:divBdr>
        <w:top w:val="none" w:sz="0" w:space="0" w:color="auto"/>
        <w:left w:val="none" w:sz="0" w:space="0" w:color="auto"/>
        <w:bottom w:val="none" w:sz="0" w:space="0" w:color="auto"/>
        <w:right w:val="none" w:sz="0" w:space="0" w:color="auto"/>
      </w:divBdr>
    </w:div>
    <w:div w:id="1739480650">
      <w:bodyDiv w:val="1"/>
      <w:marLeft w:val="0"/>
      <w:marRight w:val="0"/>
      <w:marTop w:val="0"/>
      <w:marBottom w:val="0"/>
      <w:divBdr>
        <w:top w:val="none" w:sz="0" w:space="0" w:color="auto"/>
        <w:left w:val="none" w:sz="0" w:space="0" w:color="auto"/>
        <w:bottom w:val="none" w:sz="0" w:space="0" w:color="auto"/>
        <w:right w:val="none" w:sz="0" w:space="0" w:color="auto"/>
      </w:divBdr>
    </w:div>
    <w:div w:id="2012951622">
      <w:bodyDiv w:val="1"/>
      <w:marLeft w:val="0"/>
      <w:marRight w:val="0"/>
      <w:marTop w:val="0"/>
      <w:marBottom w:val="0"/>
      <w:divBdr>
        <w:top w:val="none" w:sz="0" w:space="0" w:color="auto"/>
        <w:left w:val="none" w:sz="0" w:space="0" w:color="auto"/>
        <w:bottom w:val="none" w:sz="0" w:space="0" w:color="auto"/>
        <w:right w:val="none" w:sz="0" w:space="0" w:color="auto"/>
      </w:divBdr>
    </w:div>
    <w:div w:id="2050643349">
      <w:bodyDiv w:val="1"/>
      <w:marLeft w:val="0"/>
      <w:marRight w:val="0"/>
      <w:marTop w:val="0"/>
      <w:marBottom w:val="0"/>
      <w:divBdr>
        <w:top w:val="none" w:sz="0" w:space="0" w:color="auto"/>
        <w:left w:val="none" w:sz="0" w:space="0" w:color="auto"/>
        <w:bottom w:val="none" w:sz="0" w:space="0" w:color="auto"/>
        <w:right w:val="none" w:sz="0" w:space="0" w:color="auto"/>
      </w:divBdr>
      <w:divsChild>
        <w:div w:id="552927304">
          <w:marLeft w:val="274"/>
          <w:marRight w:val="0"/>
          <w:marTop w:val="0"/>
          <w:marBottom w:val="0"/>
          <w:divBdr>
            <w:top w:val="none" w:sz="0" w:space="0" w:color="auto"/>
            <w:left w:val="none" w:sz="0" w:space="0" w:color="auto"/>
            <w:bottom w:val="none" w:sz="0" w:space="0" w:color="auto"/>
            <w:right w:val="none" w:sz="0" w:space="0" w:color="auto"/>
          </w:divBdr>
        </w:div>
        <w:div w:id="1276208955">
          <w:marLeft w:val="432"/>
          <w:marRight w:val="0"/>
          <w:marTop w:val="0"/>
          <w:marBottom w:val="0"/>
          <w:divBdr>
            <w:top w:val="none" w:sz="0" w:space="0" w:color="auto"/>
            <w:left w:val="none" w:sz="0" w:space="0" w:color="auto"/>
            <w:bottom w:val="none" w:sz="0" w:space="0" w:color="auto"/>
            <w:right w:val="none" w:sz="0" w:space="0" w:color="auto"/>
          </w:divBdr>
        </w:div>
      </w:divsChild>
    </w:div>
    <w:div w:id="213648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B2547-C044-43C4-9D90-9C9FE5D7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1904</Words>
  <Characters>9827</Characters>
  <Application>Microsoft Office Word</Application>
  <DocSecurity>0</DocSecurity>
  <Lines>258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Pedler</dc:creator>
  <cp:keywords/>
  <dc:description/>
  <cp:lastModifiedBy>John Gillies</cp:lastModifiedBy>
  <cp:revision>2</cp:revision>
  <cp:lastPrinted>2026-02-20T08:50:00Z</cp:lastPrinted>
  <dcterms:created xsi:type="dcterms:W3CDTF">2026-03-03T15:07:00Z</dcterms:created>
  <dcterms:modified xsi:type="dcterms:W3CDTF">2026-03-03T15:07:00Z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cbf9331864d3e2d2eb00c115332603736236f0a6b48ae07e7a75b1abc6101ca0</vt:lpwstr>
  </property>
</Properties>
</file>